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https://www.cnmc.es/expedientes/c106519</w:t>
      </w:r>
    </w:p>
    <w:p>
      <w:r>
        <w:t>Pages translated : 2</w:t>
      </w:r>
    </w:p>
    <w:p/>
    <w:p>
      <w:r>
        <w:rPr>
          <w:b/>
        </w:rPr>
        <w:t>[Pages 1–2]</w:t>
      </w:r>
    </w:p>
    <w:p>
      <w:r>
        <w:t xml:space="preserve">RESOLUTION  </w:t>
        <w:br/>
        <w:t xml:space="preserve">CASE FILE C/1065/19 GEOPOST / TIPSA  </w:t>
        <w:br/>
        <w:t xml:space="preserve">COMPETITION CHAMBER  </w:t>
        <w:br/>
        <w:t xml:space="preserve">President  </w:t>
        <w:br/>
        <w:t xml:space="preserve">Mr. José María Marín Quemada  </w:t>
        <w:br/>
        <w:t xml:space="preserve">Counselors  </w:t>
        <w:br/>
        <w:t xml:space="preserve">Ms. María Ortiz Aguilar  </w:t>
        <w:br/>
        <w:t xml:space="preserve">Mr. Josep María Guinart Solà  </w:t>
        <w:br/>
        <w:t xml:space="preserve">Ms. Clotilde de la Higuera González  </w:t>
        <w:br/>
        <w:t xml:space="preserve">Ms. María Pilar Canedo Arrillaga  </w:t>
        <w:br/>
        <w:t xml:space="preserve">Secretary of the Council  </w:t>
        <w:br/>
        <w:t xml:space="preserve">Mr. Joaquim Hortalà i Vallvé  </w:t>
        <w:br/>
        <w:t>In Madrid, October 24, 2019</w:t>
      </w:r>
    </w:p>
    <w:p>
      <w:r>
        <w:t>The Competition Chamber has analyzed the concentration case file processed in accordance with Law 15/2007, of July 3, on the Defense of Competition, notification consisting of the acquisition of exclusive control of TRANSPORTE INTEGRAL DE PAQUETERÍA, S.A. (TIPSA), ALAS COURIER, S.L., MADRIPAQ SERVICIOS, S.L., CENTRAL DE MENSAJEROS LOGÍSTICA 2008, S.L.U. (CML), and ANDALUPAQ EXPRESS, S.L.U., by GEOPOST ESPAÑA, S.L. (GEOPOST), through the acquisition of shares and social participations in two phases. According to the report and proposal submitted by the Directorate of Competition, the Competition Chamber has resolved, in application of Article 57.2.a) of the aforementioned Law 15/2007, of July 3, to authorize the aforementioned concentration operation.</w:t>
      </w:r>
    </w:p>
    <w:p>
      <w:r>
        <w:t>Likewise, it is appropriate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in relation to the analysis of ancillary restrictions, the obligation imposed on the seller to inform GEOPOST of those activities that, not consisting of business activities, are contracted with agents of the TIPSA network would not be ancillary. Regarding the confidentiality agreement following the definitive acquisition of control, it should be considered ancillary to the operation and necessary for the operation, but only for a temporal limit of two years and in relation to the current material and geographical scope of action of the acquired business. All of this in accordance with what is indicated in the aforementioned report proposal from the Directorate of Competition.</w:t>
      </w:r>
    </w:p>
    <w:p>
      <w:r>
        <w:t>Communicate this Resolution to the Directorate of Competition of the National Commission of Markets and Competition and notify the interested party, informing them that this concludes the administrative process and that a contentious-administrative appeal can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