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https://www.cnmc.es/expedientes/c106619</w:t>
      </w:r>
    </w:p>
    <w:p>
      <w:r>
        <w:t>Pages translated : 1</w:t>
      </w:r>
    </w:p>
    <w:p/>
    <w:p>
      <w:r>
        <w:rPr>
          <w:b/>
        </w:rPr>
        <w:t>[Pages 1–1]</w:t>
      </w:r>
    </w:p>
    <w:p>
      <w:r>
        <w:t>RESOLUTION</w:t>
        <w:br/>
        <w:t>CASE FILE C/1066/19 BERKSHIRE / ACUMED / OSTEOMED / MICROAIRE / PRECISION EDGE / SK PRODUCTS</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October 24, 2019</w:t>
        <w:br/>
        <w:t xml:space="preserve">The Competition Chamber has analyzed the merger case file processed in accordance with Law 15/2007, of July 3, on the Defense of Competition, notification consisting of the acquisition of exclusive control by BERKSHIRE HATHAWAY, INC. (hereinafter, BERKSHIRE) of the companies (i) ACUMED LLC (hereinafter, ACUMED), (ii) OSTEOMED, LLC (hereinafter, OSTEOMED), (iii) MICROAIRE HOLDING COMPANY, LLC (hereinafter, MICROAIRE), (iv) PRECISION EDGE HOLDING COMPANY, LLC (hereinafter, PRECISION EDGE) and (v) SK PRODUCTS HOLDING COMPANY, LLC (hereinafter, SK). According to the report and proposal submitted by the Competition Directorate, the Competition Chamber has resolved, in application of Article 57.2.a) of the aforementioned Law 15/2007, of July 3, to authorize the aforementioned merger operation. </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