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https://www.cnmc.es/expedientes/c106719</w:t>
      </w:r>
    </w:p>
    <w:p>
      <w:r>
        <w:t>Pages translated : 2</w:t>
      </w:r>
    </w:p>
    <w:p/>
    <w:p>
      <w:r>
        <w:rPr>
          <w:b/>
        </w:rPr>
        <w:t>[Pages 1–2]</w:t>
      </w:r>
    </w:p>
    <w:p>
      <w:r>
        <w:t>RESOLUTION</w:t>
        <w:br/>
        <w:t>CASE FILE C/1067/19 ORANGE / SUMA</w:t>
        <w:br/>
        <w:t>COMPETITION CHAMBER</w:t>
        <w:br/>
        <w:t>President</w:t>
        <w:br/>
        <w:t>Mr. José María Marín Quemada</w:t>
        <w:br/>
        <w:t>Counselors</w:t>
        <w:br/>
        <w:t>Ms. María Ortiz Aguilar</w:t>
        <w:br/>
        <w:t>Mr. Josep María Guinart Solà</w:t>
        <w:br/>
        <w:t>Ms. Clotilde de la Higuera González</w:t>
        <w:br/>
        <w:t>Ms. María Pilar Canedo Arrillaga</w:t>
        <w:br/>
        <w:t>Secretary of the Council</w:t>
        <w:br/>
        <w:t>Mr. Joaquim Hortalà i Vallvé</w:t>
        <w:br/>
        <w:t>In Madrid, October 29, 2019</w:t>
        <w:br/>
        <w:t>The Competition Chamber has analyzed the concentration file processed in accordance with Law 15/2007, of July 3, on the Defense of Competition, notification consisting of the acquisition by ORANGE ESPAGNE, S.A.U (ORG), a subsidiary of ORANGE, S.A., of the entire capital of SUMA OPERADOR DE TELECOMUNICACIONES, S.L.U. (SOT), a subsidiary of GRUPO INGENIUM TECNOLOGÍA, S.L. (GIT), through the signing of a purchase agreement and the exercise of a right of first refusal. In accordance with the report and proposal submitted by the Directorate of Competition, the Competition Chamber has resolved, applying Article 57.2.a) of the aforementioned Law 15/2007, of July 3, to authorize the said concentration operation.</w:t>
        <w:br/>
        <w:t>It is also necessary to analyze the operation taking into account the Communication from the European Commission on restrictions directly linked to the execution of a concentration and necessary for that purpose (2005/C 56/03) and the practice of national competition authorities. This Chamber considers that, in the present case, as it pertains to Spain, the non-compete agreement would only be ancillary to the operation insofar as it does not exceed two years from the closing date, and would be subject, if applicable, to the regulations on agreements between companies regarding what exceeds this time limit. As for the non-solicitation agreement that only protects the seller, it is not considered directly linked to the concentration and necessary for that purpose, so it would also be subject, if applicable, to the regulations on agreements between companies. All of this is in accordance with what is indicated in the aforementioned report proposal from the Directorate of Competition.</w:t>
      </w:r>
    </w:p>
    <w:p>
      <w:r>
        <w:t>This Resolution shall be communicated to the Directorate of Competition of the National Commission on Markets and Competition and notified to the interested party, informing them that it concludes the administrative process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