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https://www.cnmc.es/expedientes/c106819</w:t>
      </w:r>
    </w:p>
    <w:p>
      <w:r>
        <w:t>Pages translated : 2</w:t>
      </w:r>
    </w:p>
    <w:p/>
    <w:p>
      <w:r>
        <w:rPr>
          <w:b/>
        </w:rPr>
        <w:t>[Pages 1–2]</w:t>
      </w:r>
    </w:p>
    <w:p>
      <w:r>
        <w:t>RESOLUTION</w:t>
        <w:br/>
        <w:t>CASE FILE C/1068/19 GLOBAL AVIATION/ GESTAIR/EXECUTIVE AIRLINES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November 7, 2019</w:t>
        <w:br/>
        <w:t>The Competition Chamber has analyzed the concentration case file processed in accordance with Law 15/2007, of July 3, on the Defense of Competition, notification consisting of the acquisition of exclusive control of GESTAIR, S.A.U. and EXECUTIVE AIRLINES, S.L.U. by GLOBAL AVIATION INVESTMENT, S.L.U. (“GLOBAL AVIATION”), a company controlled by the investment fund GPF CAPITAL II, S.C.A. SICAV-RAIF (“GPF CAPITAL”), through the acquisition of shares. In accordance with the report and proposal submitted by the Competition Directorate, the Competition Chamber has resolved, under the application of Article 57.2.a) of the aforementioned Law 15/2007, of July 3, to authorize the aforementioned concentration operation.</w:t>
        <w:b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content of the non-compete agreement (regarding the limitation imposed on the seller from holding shares in competing companies) goes beyond what is reasonably required by the notified concentration operation, and therefore is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