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https://www.cnmc.es/expedientes/c107019</w:t>
      </w:r>
    </w:p>
    <w:p>
      <w:r>
        <w:t>Pages translated : 2</w:t>
      </w:r>
    </w:p>
    <w:p/>
    <w:p>
      <w:r>
        <w:rPr>
          <w:b/>
        </w:rPr>
        <w:t>[Pages 1–2]</w:t>
      </w:r>
    </w:p>
    <w:p>
      <w:r>
        <w:t>RESOLUTION</w:t>
        <w:br/>
        <w:t>CASE FILE C/1070/19 MHI / TARGET</w:t>
        <w:br/>
        <w:t>COMPETITION CHAMBER</w:t>
        <w:br/>
        <w:t>President</w:t>
        <w:br/>
        <w:t>Mr. José María Marín Quemada</w:t>
        <w:br/>
        <w:t>Counselors</w:t>
        <w:br/>
        <w:t>Ms. María Ortiz Aguilar</w:t>
        <w:br/>
        <w:t>Mr. Josep María Guinart Solà</w:t>
        <w:br/>
        <w:t>Ms. Clotilde de la Higuera González</w:t>
        <w:br/>
        <w:t>Ms. María Pilar Canedo Arrillaga</w:t>
        <w:br/>
        <w:t>Secretary of the Council</w:t>
        <w:br/>
        <w:t>Mr. Joaquim Hortalà i Vallvé</w:t>
        <w:br/>
        <w:t>In Madrid, November 12, 2019</w:t>
        <w:br/>
        <w:t>The Competition Chamber has analyzed the concentration case file processed in accordance with Law 15/2007, of July 3, on the Defense of Competition, notification consisting of the acquisition of exclusive control over certain assets and liabilities (hereinafter the TARGET) related to the Canadair Regional Jet (CRJ) aircraft business of BOMBARDIER Inc. (hereinafter, BOMBARDIER) by MITSUBISHI HEAVY INDUSTRIES Ltd. (hereinafter, MHI). The operation is structured through the corresponding Purchase Agreement (PA) by which MHI acquires the exclusive ownership of TARGET for an agreed amount of 550,000,000 USD (plus the assumption by MHI of certain business obligations contemplated in the Purchase Agreement). In accordance with the report and proposal submitted by the Competition Directorate, the Competition Chamber has resolved, under the application of Article 57.2.a) of the aforementioned Law 15/2007, of July 3, to authorize the aforementioned concentration operation.</w:t>
        <w:br/>
        <w:t>It is also appropriate to analyze the operation taking into account the Communication from the European Commission on restrictions directly linked to the execution of a concentration and necessary for that purpose (2005/C 56/03) and the practice of national competition authorities. Regarding the content of the non-compete clause, this Chamber considers that any limitation that exceeds the geographical scope in which the transferred business was present, as well as the limitation related to the holding of shares for exclusively financial investment purposes, do not qualify as necessary and ancillary restrictions for the operation, and therefore are subject to the general regulations applicable to agreements between companies. All of this in accordance with what is indicated in the aforementioned report proposal from the Competition Directorate.</w:t>
        <w:br/>
        <w:t>This Resolution shall be communicated to the Competition Directorate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