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https://www.cnmc.es/expedientes/c107419</w:t>
      </w:r>
    </w:p>
    <w:p>
      <w:r>
        <w:t>Pages translated : 2</w:t>
      </w:r>
    </w:p>
    <w:p/>
    <w:p>
      <w:r>
        <w:rPr>
          <w:b/>
        </w:rPr>
        <w:t>[Pages 1–2]</w:t>
      </w:r>
    </w:p>
    <w:p>
      <w:r>
        <w:t>RESOLUTION</w:t>
        <w:br/>
        <w:t>CASE FILE C/1074/19 MARINVEST / GRUPPO MESSINA / IGNAZIO MESSINA / RO-RO ITALIA</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December 12, 2019</w:t>
        <w:br/>
        <w:t>The Competition Chamber has analyzed the merger case file processed in accordance with Law 15/2007, of July 3, on the Defense of Competition, notification consisting of the joint control acquisition of IGNAZIO MESSINA &amp; C. S.p.A. and RO-RO ITALIA, S.r.l. by MARINVEST, S.r.l., a company belonging to the MSC group, and GRUPPO MESSINA S.p.A. In accordance with the report and proposal submitted by the Competition Directorate, the Competition Chamber has resolved, applying Article 57.2.a) of the aforementioned Law 15/2007, of July 3, to authorize the aforementioned merger operation.</w:t>
        <w:br/>
        <w:t>Furthermore, it is necessary to analyze the operation taking into account the Communication from the European Commission on restrictions directly linked to the execution of a merger and necessary for that purpose (2005/C 56/03) and the practice of national competition authorities. This Chamber considers that the objective scope of the non-solicitation clause (regarding individuals who have provided services in the six months prior to the operation) goes beyond what is reasonably required by the notified merger operation, and is therefore subject to the general regulations applicable to agreements between companies.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