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https://www.cnmc.es/expedientes/c107619</w:t>
      </w:r>
    </w:p>
    <w:p>
      <w:r>
        <w:t>Pages translated : 2</w:t>
      </w:r>
    </w:p>
    <w:p/>
    <w:p>
      <w:r>
        <w:rPr>
          <w:b/>
        </w:rPr>
        <w:t>[Pages 1–2]</w:t>
      </w:r>
    </w:p>
    <w:p>
      <w:r>
        <w:t>RESOLUTION</w:t>
        <w:br/>
        <w:t>CASE FILE C/1076/19 EASYPARK – ACTIVOS IVIAL</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5, 2019</w:t>
        <w:br/>
        <w:t>The Competition Chamber has analyzed the merger case file processed in accordance with Law 15/2007, of July 3, on the Defense of Competition, notification consisting of the acquisition by EasyPark España S.L.U. (EASYPARK) of exclusive control over certain assets (Acquired Business) owned by Ingeniería Vial S.L. (IVIAL). In accordance with the report and proposal submitted by the Competition Directorate, the Competition Chamber has resolved, under the application of Article 57.2.a) of the aforementioned Law 15/2007, of July 3, to authorize the said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the present case, as it affects Spain, the non-compete, non-solicitation, and non-disposal clauses, in all three cases for a period not exceeding two (2) years and in the first two cases, limited to the areas or territories in which the acquirer is present at the date of the transfer operation; as well as the collaboration contract for a period not exceeding five (5) years regarding all those locations in which, currently, SETEX is a party or awarded with enabling titles, can be considered ancillary and necessary to the merger operation and should be understood as included within it and authorized, where applicable, with it. Anything beyond that will be subject to the regulations on agreements between companies.</w:t>
      </w:r>
    </w:p>
    <w:p>
      <w:r>
        <w:t>Finally, all obligations arising from the intermediation contract signed between EASYPARK and BOK are not considered ancillary and necessary restrictions, and therefore are subject to the regulations on agreements between companies.</w:t>
        <w:br/>
        <w:t>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