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https://www.cnmc.es/expedientes/c107719</w:t>
      </w:r>
    </w:p>
    <w:p>
      <w:r>
        <w:t>Pages translated : 1</w:t>
      </w:r>
    </w:p>
    <w:p/>
    <w:p>
      <w:r>
        <w:rPr>
          <w:b/>
        </w:rPr>
        <w:t>[Pages 1–1]</w:t>
      </w:r>
    </w:p>
    <w:p>
      <w:r>
        <w:t xml:space="preserve">RESOLUTION  </w:t>
        <w:br/>
        <w:t xml:space="preserve">CASE FILE C/1077/19 DERICHEBOURG / LYRSA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Secretary of the Council  </w:t>
        <w:br/>
        <w:t xml:space="preserve">Mr. Joaquim Hortalà i Vallvé  </w:t>
        <w:br/>
        <w:t>In Madrid, December 5, 2019</w:t>
      </w:r>
    </w:p>
    <w:p>
      <w:r>
        <w:t>The Competition Chamber has analyzed the merger case file processed in accordance with Law 15/2007, of July 3, on the Defense of Competition, notification consisting of the acquisition by DERICHEBOURG of exclusive control of the LYRSA GROUP.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