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https://www.cnmc.es/expedientes/c107819</w:t>
      </w:r>
    </w:p>
    <w:p>
      <w:r>
        <w:t>Pages translated : 1</w:t>
      </w:r>
    </w:p>
    <w:p/>
    <w:p>
      <w:r>
        <w:rPr>
          <w:b/>
        </w:rPr>
        <w:t>[Pages 1–1]</w:t>
      </w:r>
    </w:p>
    <w:p>
      <w:r>
        <w:t>RESOLUTION</w:t>
        <w:br/>
        <w:t>CASE FILE C/1078/19 CDC/GLP/CNP</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December 5, 2019</w:t>
      </w:r>
    </w:p>
    <w:p>
      <w:r>
        <w:t>The Competition Chamber has analyzed the merger case file processed in accordance with Law 15/2007, of July 3, on the Defense of Competition, notification consisting firstly of the acquisition of exclusive control by CAISSE DES DÉPÔTS ET CONSIGNATIONS (hereinafter, CDC) of LA POSTE, S.A. (GLP or GROUPE LA POSTE) and; secondly, in the acquisition by LBP (100% subsidiary of GLP) of exclusive control of CNP ASSURANCES, S.A. According to the report and proposal submitted by the Directorate of Competition, the Competition Chamber has resolved, in application of Article 57.2.a) of the aforementioned Law 15/2007, of July 3, to authorize the aforementioned merger operation.</w:t>
      </w:r>
    </w:p>
    <w:p>
      <w: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