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https://www.cnmc.es/expedientes/c107919</w:t>
      </w:r>
    </w:p>
    <w:p>
      <w:r>
        <w:t>Pages translated : 2</w:t>
      </w:r>
    </w:p>
    <w:p/>
    <w:p>
      <w:r>
        <w:rPr>
          <w:b/>
        </w:rPr>
        <w:t>[Pages 1–2]</w:t>
      </w:r>
    </w:p>
    <w:p>
      <w:r>
        <w:t>RESOLUTION</w:t>
        <w:br/>
        <w:t>CASE FILE C/1079/19 ENREACH/MASVOZ</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12, 2019</w:t>
        <w:br/>
        <w:t>The Competition Chamber has analyzed the merger case file processed in accordance with Law 15/2007, of July 3, on the Defense of Competition, notification consisting of the acquisition by ENREACH HOLDING, B.V. (ENREACH) of exclusive control over MASVOZ TELECOMUNICACIONES INTERACTIVAS, S.L. (MASVOZ). In accordance with the report and proposal submitted by the Competition Directorate, the Competition Chamber has resolved, in application of Article 57.2.a) of the aforementioned Law 15/2007, of July 3, to authorize the said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the content of the non-compete clause, any limitation regarding the holding of shares for exclusively financial investment purposes shall not be considered a necessary and ancillary restriction for the operation and, therefore, shall be subject to the general regulations applicable to agreements between companies.</w:t>
        <w:br/>
        <w:t>Furthermore, this Chamber considers that, in relation to the confidentiality clause, any limitation exceeding a duration of three years shall not be considered a necessary and ancillary restriction for the operation and shall likewise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