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https://www.cnmc.es/expedientes/c108119</w:t>
      </w:r>
    </w:p>
    <w:p>
      <w:r>
        <w:t>Pages translated : 1</w:t>
      </w:r>
    </w:p>
    <w:p/>
    <w:p>
      <w:r>
        <w:rPr>
          <w:b/>
        </w:rPr>
        <w:t>[Pages 1–1]</w:t>
      </w:r>
    </w:p>
    <w:p>
      <w:r>
        <w:t>RESOLUTION</w:t>
        <w:br/>
        <w:t>CASE FILE C/1081/19 SIX / BME</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Ms. Mª Angeles Rodriguez Paraja (acting)</w:t>
        <w:br/>
        <w:t>In Madrid, February 13, 2020</w:t>
      </w:r>
    </w:p>
    <w:p>
      <w:r>
        <w:t>The Competition Chamber has analyzed the merger case file processed in accordance with Law 15/2007, of July 3, on the Defense of Competition, consisting of the acquisition of exclusive control of BOLSAS Y MERCADOS ESPAÑOLES SOCIEDAD HOLDING DE MERCADOS Y SISTEMAS FINANCIEROS, S.A. (BME) by SIX GROUP AG (SIX), through a voluntary public offer to acquire 100% of the shares.</w:t>
      </w:r>
    </w:p>
    <w:p>
      <w:r>
        <w:t>According to the report and the proposal submitted by the Directorate of Competition, the Competition Chamber has resolved, in application of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