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https://www.cnmc.es/expedientes/c108219</w:t>
      </w:r>
    </w:p>
    <w:p>
      <w:r>
        <w:t>Pages translated : 2</w:t>
      </w:r>
    </w:p>
    <w:p/>
    <w:p>
      <w:r>
        <w:rPr>
          <w:b/>
        </w:rPr>
        <w:t>[Pages 1–2]</w:t>
      </w:r>
    </w:p>
    <w:p>
      <w:r>
        <w:t>RESOLUTION</w:t>
        <w:br/>
        <w:t>CASE FILE C/1082/19 BAVARIAN NORDIC / GSK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12, 2019</w:t>
        <w:br/>
        <w:t>The Competition Chamber has analyzed the merger case file processed in accordance with Law 15/2007, of July 3, on the Defense of Competition, notification consisting of the acquisition by BAVARIAN NORDIC A/S (hereinafter, BAVARIAN) of exclusive control over the assets, currently owned by GLAXOSMITHKLINE PLC (hereinafter, GSK), related to the global production and supply businesses of the RABIPUR/RABAVERT and ENCEPUR vaccines (hereinafter, GSK ASSETS). The operation is structured through an Asset Purchase Agreement signed on October 21, 2019. According to the report and proposal submitted by the Competition Directorate, the Competition Chamber has resolved, in application of Article 57.2.a) of the aforementioned Law 15/2007, of July 3, to authorize the aforementioned merger operation.</w:t>
        <w:b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 the content of the competition-inhibiting clauses, insofar as it exceeds the products already marketed associated with the acquired business (including improved versions and updates of products and successive models) and those products not yet marketed that are in an advanced stage of development or fully developed, (ii) the duration of the competition-inhibiting clauses, confidentiality, and obligation to purchase and supply finished products, insofar as it exceeds three (3) years from the closing date, as well as (iii) the duration of the obligations to purchase and supply inputs, insofar as it exceeds five (5) years after the closing, go beyond what is reasonable for the achievement of the operation and are not considered necessary or ancillary, therefore they will be subject to the regulations on agreements between companies.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