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https://www.cnmc.es/expedientes/c108319</w:t>
      </w:r>
    </w:p>
    <w:p>
      <w:r>
        <w:t>Pages translated : 2</w:t>
      </w:r>
    </w:p>
    <w:p/>
    <w:p>
      <w:r>
        <w:rPr>
          <w:b/>
        </w:rPr>
        <w:t>[Pages 1–2]</w:t>
      </w:r>
    </w:p>
    <w:p>
      <w:r>
        <w:t>RESOLUTION</w:t>
        <w:br/>
        <w:t>FILE NO. C/1083/19 DEALERSCO-NEWCO</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December 19, 2019</w:t>
        <w:br/>
        <w:t>The Competition Chamber has analyzed the merger file processed in accordance with Law 15/2007, of July 3, on the Defense of Competition, notification consisting of the creation of a company, NEWCO, by DEALERSNETWORK S.L. (DEALERSCO), BANCO BILBAO VIZCAYA ARGENTARIA (BBVA), and MUTUA MADRILEÑA (MM). In accordance with the report and proposal submitted by the Competition Directorate, the Competition Chamber has resolved, in application of article 57.2.a) of the aforementioned Law 15/2007, of July 3, to authorize the aforementioned merger operation.</w:t>
      </w:r>
    </w:p>
    <w:p>
      <w:r>
        <w:t>Furthermore, it is appropriate to analyze the operation taking into account the Communication from the European Commission on restrictions directly linked to the execution of a merger and necessary for that purpose (2005/C 56/03) and the practice of national competition authorities. This Chamber considers that, in relation to the non-solicitation clause contained in the partnership agreement of DEALERSCO, any limitation that exceeds the duration of the joint venture does not qualify as a necessary and ancillary restriction for the operation and, therefore, will be subject to the general regulations applicable to agreements between companies. Secondly, regarding the non-solicitation agreement contained in the investment and partnership agreement of NEWCO, to the extent that it exceeds the duration of the joint venture and in relation to BBVA and MM, it does not qualify as a necessary and ancillary restriction for the operation and, to that extent, will be subject to the general regulations applicable to agreements between companies. Finally, concerning the non-competition agreement contained in the investment and partnership agreement of NEWCO, to the extent that it exceeds a duration of two years and in relation to BBVA and MM, it does not qualify as a necessary and ancillary restriction for the operation and, to that extent, will be subject to the general regulations applicable to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