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https://www.cnmc.es/expedientes/c108419</w:t>
      </w:r>
    </w:p>
    <w:p>
      <w:r>
        <w:t>Pages translated : 2</w:t>
      </w:r>
    </w:p>
    <w:p/>
    <w:p>
      <w:r>
        <w:rPr>
          <w:b/>
        </w:rPr>
        <w:t>[Pages 1–2]</w:t>
      </w:r>
    </w:p>
    <w:p>
      <w:r>
        <w:t>RESOLUTION</w:t>
        <w:br/>
        <w:t>CASE FILE C/1084/19 CRBC/EUROBRIDGES/GRUPO PUENTES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19, 2019</w:t>
      </w:r>
    </w:p>
    <w:p>
      <w:r>
        <w:t>The Competition Chamber has analyzed the concentration file processed in accordance with Law 15/2007, of July 3, on the Defense of Competition, notification consisting of the acquisition of joint control over PUENTES Y CALZADAS GRUPO DE EMPRESAS, S.A. (GRUPO PUENTES) by CHINA ROAD AND BRIDGE CORPORATION LTD. (CRBC) and EUROPE BRIDGES&amp;ROADS COMPANY S.L.U. (EUROPE BRIDGES&amp;ROADS). Prior to the operation, EUROPE BRIDGES&amp;ROADS exclusively controlled GRUPO PUENTES. In accordance with the report and proposal submitted by the Competition Directorate, the Competition Chamber has resolved, under the application of Article 57.2.a) of the aforementioned Law 15/2007, of July 3, to authorize the aforementioned concentration operation.</w:t>
      </w:r>
    </w:p>
    <w:p>
      <w:r>
        <w:t>It is also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in relation to non-competition and confidentiality clauses regarding the business, any limitation exceeding a duration of two years will not be considered a necessary and ancillary restriction for the operation and, therefore, will be subject to the general regulations applicable to agreements between companies. Likewise, regarding the non-competition clause, concerning geographical areas where the acquired party was not present or did not intend to enter before the operation and to products or services in which Grupo Puentes did not operate before the operation, it will not be considered a necessary and ancillary restriction for the operation and, therefore, will be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