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https://www.cnmc.es/expedientes/c108519</w:t>
      </w:r>
    </w:p>
    <w:p>
      <w:r>
        <w:t>Pages translated : 1</w:t>
      </w:r>
    </w:p>
    <w:p/>
    <w:p>
      <w:r>
        <w:rPr>
          <w:b/>
        </w:rPr>
        <w:t>[Pages 1–1]</w:t>
      </w:r>
    </w:p>
    <w:p>
      <w:r>
        <w:t>RESOLUTION</w:t>
        <w:br/>
        <w:t>CASE FILE C/1085/19 BROOKFIELD/NEXTERA SPAIN</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19, 2019</w:t>
        <w:br/>
        <w:t xml:space="preserve">The Competition Chamber has analyzed the merger case file processed in accordance with Law 15/2007, of July 3, on the Defense of Competition, notification consisting of the acquisition of exclusive control of NEXTERA ENERGY ESPAÑA, S.L.U. (hereinafter, NEXTERA SPAIN) by BROOKFIELD ASSET MANAGEMENT INC. (hereinafter, BROOKFIELD). The operation is structured through a Share Purchase Agreement (hereinafter, Purchase Agreement) signed on November 14, 2019, by which BROOKFIELD acquires 100% of the share capital of NEXTERA SPAIN from its current owner, NEXTERA ENERGY, INC. (hereinafter, NEXTERA ENERGY), through its subsidiary TERP SPANISH HOLDCO, S.L.U. (hereinafter, TERRAFORM SPAIN). In accordance with the report and proposal submitted by the Competition Directorate, the Competition Chamber has resolved, under the application of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