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https://www.cnmc.es/expedientes/c108719</w:t>
      </w:r>
    </w:p>
    <w:p>
      <w:r>
        <w:t>Pages translated : 2</w:t>
      </w:r>
    </w:p>
    <w:p/>
    <w:p>
      <w:r>
        <w:rPr>
          <w:b/>
        </w:rPr>
        <w:t>[Pages 1–2]</w:t>
      </w:r>
    </w:p>
    <w:p>
      <w:r>
        <w:t>RESOLUTION</w:t>
        <w:br/>
        <w:t>CASE FILE C/1087/20 GRUPO BIMBO / SIRO PATERNA FACTORY</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June 12, 2020</w:t>
      </w:r>
    </w:p>
    <w:p>
      <w:r>
        <w:t>The Competition Chamber has analyzed the concentration case file processed in accordance with Law 15/2007, of July 3, on the Defense of Competition, consisting of the acquisition by GRUPO BIMBO, S.A.B. de C.V. (hereinafter, GB), through its Spanish subsidiary BAKERY IBERIAN INVESTMENTS, S.L.U. (BII), of shares and holdings representing 100% of the share capital of SIRO PATERNA, S.A.U. (SIRO PATERNA) and SIRO VALENCIA, S.L.U. (SIRO VALENCIA) (jointly, the COMPANIES) from its current owner, GRUPO SIRO (specifically GALLETAS SIRO, S.A.U. and SIRO VENTA DE BAÑOS, S.A.U., jointly, the SELLERS). According to the report and proposal submitted by the Competition Directorate, the Competition Chamber has resolved, in application of Article 57.2.b) of the aforementioned Law 15/2007, of July 3, to authorize the aforementioned concentration operation subject to compliance with the commitments presented by the notifier on March 11, 2020, and specifically in its modified version submitted on May 14, 2020.</w:t>
      </w:r>
    </w:p>
    <w:p>
      <w:r>
        <w:t>Furthermore, it is appropriate to analyze the operation taking into account the Communication from the European Commission regarding restrictions directly linked to the execution of a concentration and necessary for that purpose (2005/C 56/03). This Chamber considers that the following will not be regarded as ancillary and necessary restrictions for the operation, and will therefore be subject to the regulations on agreements between companies: i) the duration of the non-compete clause, and confidentiality in all that exceeds the (2) two years established in the aforementioned Communication for those operations in which there is no transfer of technical knowledge; ii) any extension or modification of the purchase or supply obligations included in the draft Service Provision Contract for the inclusion of additional services that exceed those previously provided for the manufacture of products of the transferred business, and/or that exceed the (5) five years established in the Communication.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