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https://www.cnmc.es/expedientes/c108820</w:t>
      </w:r>
    </w:p>
    <w:p>
      <w:r>
        <w:t>Pages translated : 2</w:t>
      </w:r>
    </w:p>
    <w:p/>
    <w:p>
      <w:r>
        <w:rPr>
          <w:b/>
        </w:rPr>
        <w:t>[Pages 1–2]</w:t>
      </w:r>
    </w:p>
    <w:p>
      <w:r>
        <w:t>RESOLUTION</w:t>
        <w:br/>
        <w:t>CASE FILE C/1088/20 CCI / BIZKAIA</w:t>
        <w:br/>
        <w:t>COMPETITION CHAMBER</w:t>
        <w:br/>
        <w:t>President</w:t>
        <w:br/>
        <w:t>Mr. José María Marín Quemada</w:t>
        <w:br/>
        <w:t>Counselors</w:t>
        <w:br/>
        <w:t>Ms. María Ortiz Aguilar</w:t>
        <w:br/>
        <w:t>Mr. Josep María Guinart Solà</w:t>
        <w:br/>
        <w:t>Ms. Clotilde de la Higuera González</w:t>
        <w:br/>
        <w:t>Ms. María Pilar Canedo Arrillaga</w:t>
        <w:br/>
        <w:t>Secretary of the Council</w:t>
        <w:br/>
        <w:t>Mr. Joaquim Hortalà i Vallvé</w:t>
        <w:br/>
        <w:t>In Madrid, January 23, 2020</w:t>
      </w:r>
    </w:p>
    <w:p>
      <w:r>
        <w:t>The Competition Chamber has analyzed the merger file processed in accordance with Law 15/2007, of July 3, on the Defense of Competition, consisting of the acquisition by CASTLETON COMMODITIES LUXEMBOURG HOLDING S.À R.L. (CASTLETON or the Notifying Party) of exclusive control of BIZKAIA HOLDINGS B.V. (BIZKAIA). In accordance with the report and proposal submitted by the Competition Directorate, the Competition Chamber has resolved, in application of Article 57.2.a) of the aforementioned Law 15/2007, of July 3, to authorize the said merger operation.</w:t>
      </w:r>
    </w:p>
    <w:p>
      <w:r>
        <w:t>Furthermore, it is appropriate to analyze the operation taking into account the Communication from the European Commission on restrictions directly linked to the execution of a merger and necessary for that purpose (2005/C 56/03) and the practice of national competition authorities. This Chamber considers that, in relation to the non-solicitation clause, its content cannot be considered directly linked to the present merger operation, as it only protects the seller, and therefore, it will be subject to the general regulations applicable to agreements between companies. All of this in accordance with what is indicated in the aforementioned report proposal from the Competition Directorate.</w:t>
      </w:r>
    </w:p>
    <w:p>
      <w: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