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https://www.cnmc.es/expedientes/c108920</w:t>
      </w:r>
    </w:p>
    <w:p>
      <w:r>
        <w:t>Pages translated : 2</w:t>
      </w:r>
    </w:p>
    <w:p/>
    <w:p>
      <w:r>
        <w:rPr>
          <w:b/>
        </w:rPr>
        <w:t>[Pages 1–2]</w:t>
      </w:r>
    </w:p>
    <w:p>
      <w:r>
        <w:t>RESOLUTION</w:t>
        <w:br/>
        <w:t>CASE FILE C/1089/20 EMEFIN / TIENDANIMAL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February 20, 2020</w:t>
        <w:br/>
        <w:t>The Competition Chamber has analyzed the merger file processed in accordance with Law 15/2007, of July 3, on the Defense of Competition, consisting of the acquisition by Emefin, S.A., of exclusive control of Tiendanimal, including Dolfer Meridian, S.L., Tiendanimal Comercio Electrónico para Macotas S.L., and Clinicanimal Clínicas Veterinarias, S.L. In accordance with the report and proposal submitted by the Competition Directorate, the Competition Chamber has resolved, applying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in relation to the non-competition clause, considers that, regarding the material scope, the prohibitions on acquiring financial stakes that do not imply control of a company considered a competitor of the business should not be considered ancillary; regarding the temporal scope, the non-competition clause for a duration greater than two years for any seller should not be considered ancillary to the operation, as the consideration of non-competition for three years is excessively broad given the lack of customer loyalty; and in relation to the geographical scope, the non-competition clause outside the locations where the seller was operating should not be considered ancillary to the operation.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