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https://www.cnmc.es/expedientes/c109120</w:t>
      </w:r>
    </w:p>
    <w:p>
      <w:r>
        <w:t>Pages translated : 2</w:t>
      </w:r>
    </w:p>
    <w:p/>
    <w:p>
      <w:r>
        <w:rPr>
          <w:b/>
        </w:rPr>
        <w:t>[Pages 1–2]</w:t>
      </w:r>
    </w:p>
    <w:p>
      <w:r>
        <w:t>RESOLUTION</w:t>
        <w:br/>
        <w:t>CASE FILE C/1091/20 SAREB / VARDE / FAB</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Barcelona, February 20, 2020</w:t>
        <w:br/>
        <w:t>The Competition Chamber has analyzed the concentration case file processed in accordance with Law 15/2007, of July 3, on the Defense of Competition, consisting of the acquisition of joint control over Árqura Homes, Banking Assets Fund (the FAB) by Värde Partners Inc (VARDE) and Sociedad de Gestión de Activos Procedentes de la Reestructuración Bancaria, S.A. (SAREB). In accordance with the report and proposal submitted by the Competition Directorate, the Competition Chamber has resolved, applying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all restrictions on competition are ancillary and necessary for the concentration operation, with the exception of the material scope of the exclusivity agreements, which go beyond what is reasonably required by the notified concentration operation, and are therefore subject to the general regulations applicable to agreements between companies, according to the following criteria: (i) to the extent that it exceeds the prohibition on AELCA DESARROLLOS INMOBILIARIOS, S.L. (AELCA) from providing to third parties the services described in the Comprehensive Asset Management, Project Development and Promotions Contract (the “AMA” or the “Management Contract”) regarding real estate promotions intended for residential use for sale, and (ii) to the extent that it exceeds the exclusive management in favor of AELCA DESARROLLOS INMOBILIARIOS, S.L., of the assets that the Banking Assets Fund (the FAB) currently possesses.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