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https://www.cnmc.es/expedientes/c109220</w:t>
      </w:r>
    </w:p>
    <w:p>
      <w:r>
        <w:t>Pages translated : 2</w:t>
      </w:r>
    </w:p>
    <w:p/>
    <w:p>
      <w:r>
        <w:rPr>
          <w:b/>
        </w:rPr>
        <w:t>[Pages 1–2]</w:t>
      </w:r>
    </w:p>
    <w:p>
      <w:r>
        <w:t>RESOLUTION</w:t>
        <w:br/>
        <w:t>CASE FILE C/1092/20 BKS / KAM COMPANIES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February 6, 2020</w:t>
        <w:br/>
        <w:t>The Competition Chamber has analyzed the merger file processed in accordance with Law 15/2007, of July 3, on the Defense of Competition, notification consisting of the acquisition of exclusive control over the companies BURGER KAM, S.L.U.; EXPLORATORY INVESTMENT 2007, S.L.U.; and EASY LUNCH, S.L.U. (“KAM COMPANIES”) by BURGER KING SPAIN, S.L.U. (“BKS”). In accordance with the report and proposal submitted by the Competition Directorate, the Competition Chamber has resolved, applying Article 57.2.a) of the aforementioned Law 15/2007, of July 3, to authorize the aforementioned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both the material and temporal scope of the non-compete and non-solicitation clauses do not go beyond what is reasonably required by the notified merger operation and are deemed ancillary and necessary for the operation. Regarding the geographical scope, the non-compete clause outside the locations where the seller was operating should not be considered ancillary to the operation, thus remaining subject to the general regulations applicable to agreements between companies. All of this in accordance with what is indicated in the aforementioned report and proposal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