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https://www.cnmc.es/expedientes/c109320</w:t>
      </w:r>
    </w:p>
    <w:p>
      <w:r>
        <w:t>Pages translated : 2</w:t>
      </w:r>
    </w:p>
    <w:p/>
    <w:p>
      <w:r>
        <w:rPr>
          <w:b/>
        </w:rPr>
        <w:t>[Pages 1–2]</w:t>
      </w:r>
    </w:p>
    <w:p>
      <w:r>
        <w:t>RESOLUTION</w:t>
        <w:br/>
        <w:t>CASE FILE C/1093/20 PORTOBELLO / BT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February 13, 2020</w:t>
      </w:r>
    </w:p>
    <w:p>
      <w:r>
        <w:t>The Competition Chamber has analyzed the merger file processed in accordance with Law 15/2007, of July 3, on the Defense of Competition, consisting of the acquisition of exclusive control of BT ESPAÑA COMPAÑÍA DE SERVICIOS GLOBALES DE TELECOMUNICACIONES, S.A.U. (hereinafter, BT), a company ultimately controlled by BT GROUP, P.L.C., (hereinafter BTG) by CARTERA RUBY, S.L. (hereinafter, RB), a newly created company controlled by PORTOBELLO CAPITAL FONDO IV, F.C.R., a company ultimately controlled by PORTOBELLO CAPITAL GESTION, S.G.E.I.C.</w:t>
      </w:r>
    </w:p>
    <w:p>
      <w:r>
        <w:t>In accordance with the report and proposal submitted by the Directorate of Competition, the Competition Chamber has resolved, applying Article 57.2.a) of the aforementioned Law 15/2007, of July 3, to authorize the aforementioned merger operation.</w:t>
      </w:r>
    </w:p>
    <w:p>
      <w:r>
        <w:t>It is also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in relation to service contracts that contain purchase or supply obligations, in so far as their duration may exceed a period of five years, they will not form part of the agreement and will be subject to the general regulations applicable to agreements between companies. All of this in accordance with what is indicated in the aforementioned report proposal from the Directorate of Competition.</w:t>
      </w:r>
    </w:p>
    <w:p>
      <w:r>
        <w:t>Communicate this Resolution to the Directorate of Competition of the National Commission of Markets and Competition and notify the interested party, informing them that this ends the administrative procedure and that a contentious-administrative appeal can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