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https://www.cnmc.es/expedientes/c109420</w:t>
      </w:r>
    </w:p>
    <w:p>
      <w:r>
        <w:t>Pages translated : 1</w:t>
      </w:r>
    </w:p>
    <w:p/>
    <w:p>
      <w:r>
        <w:rPr>
          <w:b/>
        </w:rPr>
        <w:t>[Pages 1–1]</w:t>
      </w:r>
    </w:p>
    <w:p>
      <w:r>
        <w:t>RESOLUTION</w:t>
        <w:br/>
        <w:t>CASE FILE C/1094/20 FLUTTER / STARS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March 12, 2020</w:t>
      </w:r>
    </w:p>
    <w:p>
      <w:r>
        <w:t>The Competition Chamber has analyzed the merger file processed in accordance with Law 15/2007, of July 3, on the Defense of Competition, consisting of the direct acquisition by Flutter of exclusive control over Stars, which operates in the gambling sector. In accordance with the report and proposal submitted by the Competition Directorate, the Competition Chamber has resolved, pursuant to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