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https://www.cnmc.es/expedientes/c109520</w:t>
      </w:r>
    </w:p>
    <w:p>
      <w:r>
        <w:t>Pages translated : 2</w:t>
      </w:r>
    </w:p>
    <w:p/>
    <w:p>
      <w:r>
        <w:rPr>
          <w:b/>
        </w:rPr>
        <w:t>[Pages 1–2]</w:t>
      </w:r>
    </w:p>
    <w:p>
      <w:r>
        <w:t>RESOLUTION</w:t>
        <w:br/>
        <w:t>CASE FILE C/1095/20 APPLUS-ITEUVEE CANARIAS</w:t>
        <w:br/>
        <w:t>COMPETITION CHAMBER</w:t>
        <w:br/>
        <w:t>President</w:t>
        <w:br/>
        <w:t>Mr. José María Marín Quemada</w:t>
        <w:br/>
        <w:t>Counselors</w:t>
        <w:br/>
        <w:t>Ms. María Ortiz Aguilar</w:t>
        <w:br/>
        <w:t>Mr. Josep María Guinart Solà</w:t>
        <w:br/>
        <w:t>Ms. Clotilde de la Higuera González</w:t>
        <w:br/>
        <w:t>Ms. María Pilar Canedo Arrillaga</w:t>
        <w:br/>
        <w:t>Secretary of the Council</w:t>
        <w:br/>
        <w:t>Mr. Joaquim Hortalà i Vallvé</w:t>
        <w:br/>
        <w:t>In Barcelona, February 20, 2020</w:t>
        <w:br/>
        <w:t xml:space="preserve">The Competition Chamber has analyzed the merger file processed in accordance with Law 15/2007, of July 3, on the Defense of Competition, consisting of the acquisition by APPLUS ITEUVE TECHNOLOGY, S.L.U., of exclusive control of ITEUVE CANARIAS, S.L., through the acquisition of 100% of the shares in the share capital of the latter company. In accordance with the report and proposal submitted by the Competition Directorate, the Competition Chamber has resolved, in application of Article 57.2.a) of the aforementioned Law 15/2007, of July 3, to authorize the said merger operation. </w:t>
        <w:br/>
        <w:t xml:space="preserve">Likewise, it is appropriate to analyze the operation taking into account the Communication from the European Commission on restrictions directly linked to the execution of a merger and necessary for that purpose (2005/C 56/03) and the practice of national competition authorities. This Chamber considers that, as it pertains to the territories of the islands of Tenerife and Fuerteventura, the non-competition and non-solicitation agreements contained in the Sale Agreement are ancillary to the operation and should be understood as included within the same operation and authorized with it, remaining subject to the regulations on agreements between companies in what exceeds two (2) years and regarding the limitation on financial interests that do not confer control. All of this in accordance with what is indicated in the aforementioned report proposal from the Competition Directorate. </w:t>
        <w:br/>
        <w:t>Communicate this Resolution to the Competition Directorate of the National Commission of Markets and Competition and notify the interested party, informing them that this concludes the administrative process and that a contentious-administrative appeal can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