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https://www.cnmc.es/expedientes/c109720</w:t>
      </w:r>
    </w:p>
    <w:p>
      <w:r>
        <w:t>Pages translated : 1</w:t>
      </w:r>
    </w:p>
    <w:p/>
    <w:p>
      <w:r>
        <w:rPr>
          <w:b/>
        </w:rPr>
        <w:t>[Pages 1–1]</w:t>
      </w:r>
    </w:p>
    <w:p>
      <w:r>
        <w:t>RESOLUTION</w:t>
        <w:br/>
        <w:t>CASE FILE C/1097/20 SUN CAPITAL / WESCOM</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February 13, 2020</w:t>
        <w:br/>
        <w:t xml:space="preserve">The Competition Chamber has analyzed the concentration case file processed in accordance with Law 15/2007, of July 3, on the Defense of Competition, consisting of the acquisition by SUN CAPITAL PARTNERS, INC. (SUN CAPITAL) of exclusive control of the WESCOM GROUP (WESCOM), through the purchase of 100% of its share capital, via an investment fund managed by SUN CAPITAL, which in turn uses a special purpose vehicle to implement the transaction. In accordance with the report and proposal submitted by the Directorate of Competition, the Competition Chamber has resolved, applying Article 57.2.a) of the aforementioned Law 15/2007, of July 3, to authorize the said concentration operation. </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