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https://www.cnmc.es/expedientes/c109820</w:t>
      </w:r>
    </w:p>
    <w:p>
      <w:r>
        <w:t>Pages translated : 2</w:t>
      </w:r>
    </w:p>
    <w:p/>
    <w:p>
      <w:r>
        <w:rPr>
          <w:b/>
        </w:rPr>
        <w:t>[Pages 1–2]</w:t>
      </w:r>
    </w:p>
    <w:p>
      <w:r>
        <w:t>RESOLUTION</w:t>
        <w:br/>
        <w:t>CASE FILE C/1098/20 REDEXIS / CEPSA GLP - 3</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12, 2020</w:t>
      </w:r>
    </w:p>
    <w:p>
      <w:r>
        <w:t>The Competition Chamber has analyzed the merger file processed in accordance with Law 15/2007, of July 3, on the Defense of Competition, consisting of the acquisition by REDEXIS GAS, S.A. (hereinafter, REDEXIS), of several assets for the distribution and supply of liquefied petroleum gas (hereinafter, LPG) channeled, owned by CEPSA COMERCIAL PETRÓLEO S.A.U. (hereinafter, CEPSA). In accordance with the report and the proposal submitted by the Directorate of Competition, the Competition Chamber has resolved, applying Article 57.2.a) of the aforementioned Law 15/2007, of July 3, to authorize the aforementioned merger operation.</w:t>
      </w:r>
    </w:p>
    <w:p>
      <w: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contracts for the supply of bulk LPG signed with CEPSA should be excluded from the authorization, to the extent that they are exclusive in favor of CEPSA and to the extent that they exceed five (5) years in duration, thus making such restriction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