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https://www.cnmc.es/expedientes/c109920</w:t>
      </w:r>
    </w:p>
    <w:p>
      <w:r>
        <w:t>Pages translated : 1</w:t>
      </w:r>
    </w:p>
    <w:p/>
    <w:p>
      <w:r>
        <w:rPr>
          <w:b/>
        </w:rPr>
        <w:t>[Pages 1–1]</w:t>
      </w:r>
    </w:p>
    <w:p>
      <w:r>
        <w:t xml:space="preserve">RESOLUTION  </w:t>
        <w:br/>
        <w:t xml:space="preserve">CASE FILE C/1099/20 PROA CAPITAL / GRUPO SOLITIUM  </w:t>
        <w:br/>
        <w:t xml:space="preserve">COMPETITION CHAMBER  </w:t>
        <w:br/>
        <w:t xml:space="preserve">President  </w:t>
        <w:br/>
        <w:t xml:space="preserve">Mr. José María Marín Quemada  </w:t>
        <w:br/>
        <w:t xml:space="preserve">Counselors  </w:t>
        <w:br/>
        <w:t xml:space="preserve">Ms. María Ortiz Aguilar  </w:t>
        <w:br/>
        <w:t xml:space="preserve">Mr. Josep María Guinart Solà  </w:t>
        <w:br/>
        <w:t xml:space="preserve">Ms. Clotilde de la Higuera González  </w:t>
        <w:br/>
        <w:t xml:space="preserve">Secretary of the Council  </w:t>
        <w:br/>
        <w:t xml:space="preserve">Mr. Joaquim Hortalà i Vallvé  </w:t>
        <w:br/>
        <w:t>In Madrid, February 27, 2020</w:t>
      </w:r>
    </w:p>
    <w:p>
      <w:r>
        <w:t>The Competition Chamber has analyzed the concentration file processed in accordance with Law 15/2007, of July 3, on the Defense of Competition, consisting of the exclusive control acquisition of SOLITIUM S.L. (“SOLITIUM”) by PROA CAPITAL DE INVERSIONES S.G.E.I.C., S.A (“PROA”). In accordance with the report and proposal submitted by the Competition Directorate, the Competition Chamber has resolved, in application of article 57.2.a) of the aforementioned Law 15/2007, of July 3, to authorize the aforementioned concentration operation.</w:t>
      </w:r>
    </w:p>
    <w:p>
      <w:r>
        <w:t>Furthermore,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non-competition agreement goes beyond what is reasonably required by the notified concentration operation, and is therefore subject to the general regulations applicable to agreements between companies. All of this 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