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https://www.cnmc.es/expedientes/c110020</w:t>
      </w:r>
    </w:p>
    <w:p>
      <w:r>
        <w:t>Pages translated : 1</w:t>
      </w:r>
    </w:p>
    <w:p/>
    <w:p>
      <w:r>
        <w:rPr>
          <w:b/>
        </w:rPr>
        <w:t>[Pages 1–1]</w:t>
      </w:r>
    </w:p>
    <w:p>
      <w:r>
        <w:t>RESOLUTION</w:t>
        <w:br/>
        <w:t>CASE FILE C/1100/20 ALGECO / ALQUIBALAT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June 12, 2020</w:t>
      </w:r>
    </w:p>
    <w:p>
      <w:r>
        <w:t>The Competition Chamber has analyzed the merger case file processed in accordance with Law 15/2007, of July 3, on the Defense of Competition related to case file C/1100/20 ALGECO / ALQUIBALAT. The notifying party has not requested the lifting of the suspension of the deadline under the third additional provision of Royal Decree 463/2020, of March 14. A withdrawal request was submitted by the notifying party and in accordance with the proposal raised by the Directorate of Competition, the Competition Chamber has resolved, in application of Article 57.2.e) of the aforementioned Law 15/2007, of July 3, to archive the aforementioned merger operation.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