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https://www.cnmc.es/expedientes/c110220</w:t>
      </w:r>
    </w:p>
    <w:p>
      <w:r>
        <w:t>Pages translated : 2</w:t>
      </w:r>
    </w:p>
    <w:p/>
    <w:p>
      <w:r>
        <w:rPr>
          <w:b/>
        </w:rPr>
        <w:t>[Pages 1–2]</w:t>
      </w:r>
    </w:p>
    <w:p>
      <w:r>
        <w:t>RESOLUTION</w:t>
        <w:br/>
        <w:t>CASE FILE C/1102/20 HENRY SCHEIN / CASA SCHMIDT -ASSETS-</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June 30, 2020</w:t>
        <w:br/>
        <w:t xml:space="preserve">The Competition Chamber has analyzed the merger case file processed in accordance with Law 15/2007, of July 3, on the Defense of Competition, consisting of the acquisition by Henry Schein España Holdings, (hereinafter HS Holdings) of Importación Dental Especialidades, S.L. (hereinafter, IDE) and certain assets of Casa Schmidt, S.A., including 100% of the share capital of its subsidiary Servimed Técnicos, S.L.U., assets of Mediclog Sanitaria S.L., as well as the vast majority of the share capital of Casa Schmidt Portugal – Comércio de Equipamentos Protésicos Dentários, LDA (hereinafter, Casa Schmidt Portugal). The set of acquired assets shall hereinafter be referred to as Schmidt Assets. In accordance with the report and proposal submitted by the Directorate of Competition, the Competition Chamber has resolved, pursuant to Article 57.2.a) of the aforementioned Law 15/2007, of July 3, to authorize the aforementioned merger operation. </w:t>
        <w:br/>
        <w:t xml:space="preserve">Furthermore, it is appropriate to analyze the operation taking into account the Communication from the European Commission on restrictions directly linked to the execution of a merger and necessary for that purpose (2005/C 56/03). This Chamber considers that the material scope of the non-compete clause regarding the mere acquisition of financial interests, the temporal scope of the confidentiality clause exceeding 2 years, and the non-solicitation clause concerning the buyer go beyond what is reasonably required by the notified merger operation, and are therefore subject to the general regulations applicable to agreements between companies. All of this is in accordance with what is indicated in the aforementioned report proposal from the Directorate of Competition.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