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https://www.cnmc.es/expedientes/c110320</w:t>
      </w:r>
    </w:p>
    <w:p>
      <w:r>
        <w:t>Pages translated : 2</w:t>
      </w:r>
    </w:p>
    <w:p/>
    <w:p>
      <w:r>
        <w:rPr>
          <w:b/>
        </w:rPr>
        <w:t>[Pages 1–2]</w:t>
      </w:r>
    </w:p>
    <w:p>
      <w:r>
        <w:t>RESOLUTION</w:t>
        <w:br/>
        <w:t>CASE FILE C/1103/20 POLYONE / CLARIANT MASTERBATCH ASSETS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24, 2020</w:t>
        <w:br/>
        <w:t>The Competition Chamber has analyzed the merger case file processed in accordance with Law 15/2007, of July 3, on the Defense of Competition, consisting of the acquisition of exclusive control by POLYONE CORPORATION (hereinafter, POLYONE) of the entire global business of production and sale of masterbatch from CLARIANT AG (hereinafter, CLARIANT MASTERBATCH ASSETS).</w:t>
        <w:br/>
        <w:t>The third additional provision of Royal Decree 463/2020, of March 14, which declares the state of alarm for the management of the health crisis situation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br/>
        <w:t>In view of the interest expressed by the notifier in the urgent resolution of this procedure and that the resolution of the procedure does not harm the interests of third parties, this Chamber agrees to continue the processing of the procedure.</w:t>
      </w:r>
    </w:p>
    <w:p>
      <w:r>
        <w:t>In accordance with the report and proposal submitted by the Directorate of Competition, the Competition Chamber has resolved, under the application of Article 57.2.a) of the aforementioned Law 15/2007, of July 3, to authorize the aforementioned merger operation.</w:t>
        <w:br/>
        <w:t>It is also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following will not be regarded as ancillary and necessary restrictions for the operation, and will therefore be subject to the regulations on agreements between companies: (i) the content of the clauses that inhibit competition to the extent that they exceed the geographical scope in which the acquired business was present and that limit the acquisition or holding by the participants of investment shares that do not imply the acquisition of control or significant influence in other companies regardless of the percentage of participation acquired and (ii) the duration of the clauses that inhibit competition and non-solicitation, to the extent that they exceed two (2) years from the date of closing of this operation. All of this in accordance with what is indicated in the aforementioned report proposal from the Directorate of Competition.</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However, it is noted that, in accordance with the provisions of the second additional provision of Royal Decree 463/2020, of March 14, "terms are suspended and the deadlines provided for in procedural laws for all jurisdictional orders are suspended and interrupted. The computation of the deadlines will resume at the moment when this royal decree or, where appropriate, its extensions cease to be in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