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https://www.cnmc.es/expedientes/c110420</w:t>
      </w:r>
    </w:p>
    <w:p>
      <w:r>
        <w:t>Pages translated : 2</w:t>
      </w:r>
    </w:p>
    <w:p/>
    <w:p>
      <w:r>
        <w:rPr>
          <w:b/>
        </w:rPr>
        <w:t>[Pages 1–2]</w:t>
      </w:r>
    </w:p>
    <w:p>
      <w:r>
        <w:t>RESOLUTION</w:t>
        <w:br/>
        <w:t>CASE FILE C/1104/20 NATURGY / SONATRACH / MEDGAZ</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24, 2020</w:t>
      </w:r>
    </w:p>
    <w:p>
      <w:r>
        <w:t>The Competition Chamber has analyzed the merger file processed in accordance with Law 15/2007, of July 3, on the Defense of Competition, consisting of the acquisition by NATURGY ENERGY GROUP, S.A. (“NATURGY”), through its subsidiary […], and SONATRACH, S.p.A. (“SONATRACH”), of 42.09% of the shares that MUBADALA INVESTMENT COMPANY PJSC (“MUBADALA”), through its subsidiary CEPSA HOLDING LLC (“CEPSA HOLDING”), holds in MEDGAZ, S.A. (“MEDGAZ”).</w:t>
      </w:r>
    </w:p>
    <w:p>
      <w: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r>
    </w:p>
    <w:p>
      <w:r>
        <w:t>In view of the interest expressed by the notifier in the urgent resolution of this procedure and that the resolution of the procedure does not harm the interests of third parties, this Chamber agrees to continue the processing of the procedure.</w:t>
      </w:r>
    </w:p>
    <w:p>
      <w:r>
        <w:t>In accordance with the report and proposal submitted by the Directorate of Competition, the Competition Chamber has resolved, under the application of Article 57.2.a) of the aforementioned Law 15/2007, of July 3, to authorize the aforementioned merger operation.</w:t>
      </w:r>
    </w:p>
    <w:p>
      <w:r>
        <w:t>This Resolution shall be communicated to the Directorate of Competition of the National Commission on Markets and Competition and notified to the interested party, informing them that it concludes the administrative route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for in procedural laws for all jurisdictional orders are suspended and interrupted. The computation of the deadlines will resume at the moment when this royal decree or, where appropriate, its extensions lose validity.”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