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https://www.cnmc.es/expedientes/c110720</w:t>
      </w:r>
    </w:p>
    <w:p>
      <w:r>
        <w:t>Pages translated : 2</w:t>
      </w:r>
    </w:p>
    <w:p/>
    <w:p>
      <w:r>
        <w:rPr>
          <w:b/>
        </w:rPr>
        <w:t>[Pages 1–2]</w:t>
      </w:r>
    </w:p>
    <w:p>
      <w:r>
        <w:t xml:space="preserve">RESOLUTION  </w:t>
        <w:br/>
        <w:t xml:space="preserve">CASE FILE C/1107/20 NMC/SYNTOR  </w:t>
        <w:br/>
        <w:t xml:space="preserve">COMPETITION CHAMBER  </w:t>
        <w:br/>
        <w:t xml:space="preserve">President  </w:t>
        <w:br/>
        <w:t xml:space="preserve">Mr. José María Marín Quemada  </w:t>
        <w:br/>
        <w:t xml:space="preserve">Counselors  </w:t>
        <w:br/>
        <w:t xml:space="preserve">Ms. María Ortiz Aguilar  </w:t>
        <w:br/>
        <w:t xml:space="preserve">Mr. Josep María Guinart Solà  </w:t>
        <w:br/>
        <w:t xml:space="preserve">Ms. Clotilde de la Higuera González  </w:t>
        <w:br/>
        <w:t xml:space="preserve">Ms. María Pilar Canedo Arrillaga  </w:t>
        <w:br/>
        <w:t xml:space="preserve">Secretary of the Council  </w:t>
        <w:br/>
        <w:t xml:space="preserve">Mr. Joaquim Hortalà i Vallvé  </w:t>
        <w:br/>
        <w:t>In Madrid, April 7, 2020</w:t>
      </w:r>
    </w:p>
    <w:p>
      <w:r>
        <w:t>The Competition Chamber has analyzed the concentration case file processed in accordance with Law 15/2007, of July 3, on the Defense of Competition, consisting of the acquisition of exclusive control by NEW MOUNTAIN CAPITAL LLC (hereinafter, NMC) of SYNTOR FINE CHEMICALS (HOLDINGS) LIMITED (hereinafter, SYNTOR) through its subsidiary ACETO UK HOLDING LIMITED (hereinafter, ACETO).</w:t>
      </w:r>
    </w:p>
    <w:p>
      <w:r>
        <w:t>The third additional provision of Royal Decree 463/2020, of March 14, by which the state of alarm is declared for the management of the health crisis situation caused by COVID-19, provides for the suspension of terms and deadlines for the processing of procedures. However, its sections 3 and 4, amended by Royal Decree 465/2020, of March 17, allow for the continuation of procedures to avoid serious harm to the rights and interests of the parties involved or when it is essential for the protection of the general interest or for the basic functioning of services.</w:t>
      </w:r>
    </w:p>
    <w:p>
      <w:r>
        <w:t>In view of the interest expressed by the notifier in the urgent resolution of this procedure and that the resolution of the procedure does not harm the interests of third parties, this Chamber agrees to continue the processing of the procedure.</w:t>
      </w:r>
    </w:p>
    <w:p>
      <w:r>
        <w:t>In accordance with the report and proposal submitted by the Directorate of Competition, the Competition Chamber has resolved, applying Article 57.2.a) of the aforementioned Law 15/2007, of July 3, to authorize the aforementioned concentration operation.</w:t>
      </w:r>
    </w:p>
    <w:p>
      <w:r>
        <w:t>Likewise, it is appropriate to analyze the operation taking into account the Communication from the European Commission on restrictions directly linked to the execution of a concentration and necessary for that purpose (2005/C 56/03) and the practice of national competition authorities. This Chamber considers i) regarding the confidentiality clause, its duration in all that exceeds three (3) years from the date of closing of this operation, and its content in the part that protects the seller, not necessary or accessory, and ii) in the area of clauses inhibiting competition, any limitation on the acquisition or holding by the seller of investment shares that do not involve the acquisition of control or significant influence in other companies, regardless of the percentage of participation acquired, therefore remaining subject to the regulations on agreements between companies. All of this in accordance with what is indicated in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route and that a contentious-administrative appeal may be filed against it before the National Court, within two months from the day following its notification. However, it is noted that, in accordance with the provisions of the second additional provision of Royal Decree 463/2020, of March 14, "terms are suspended and the deadlines provided for in procedural laws for all jurisdictional orders are suspended and interrupted. The computation of deadlines will resume at the moment when this royal decree or, where applicable, its extensions cease to be in force."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