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https://www.cnmc.es/expedientes/c110920</w:t>
      </w:r>
    </w:p>
    <w:p>
      <w:r>
        <w:t>Pages translated : 2</w:t>
      </w:r>
    </w:p>
    <w:p/>
    <w:p>
      <w:r>
        <w:rPr>
          <w:b/>
        </w:rPr>
        <w:t>[Pages 1–2]</w:t>
      </w:r>
    </w:p>
    <w:p>
      <w:r>
        <w:t>RESOLUTION</w:t>
        <w:br/>
        <w:t>CASE FILE C/1109/20 BARCELÓ / DENEB</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May 8, 2020</w:t>
        <w:br/>
        <w:t>The Competition Chamber has analyzed the concentration case file processed in accordance with Law 15/2007, of July 3, on the Defense of Competition, consisting of the acquisition of a series of assets by BARCELÓ CORPORACIÓN EMPRESARIAL S.A. over DENEB GESTIÓN DE VIAJES, S.L. (GLOBALIA).</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br/>
        <w:t>In accordance with the report and proposal submitted by the Directorate of Competition, the Competition Chamber has resolved, in application of Article 57.2.a) of the aforementioned Law 15/2007, of July 3, to authorize the aforementioned concentration operation.</w:t>
        <w:br/>
        <w:t>It is also necessary to analyze the operation taking into account the Communication from the European Commission on restrictions directly linked to the execution of a concentration and necessary for that purpose (2005/C 56/03). This Chamber considers that the following restrictions go beyond what is reasonably required by the notified concentration operation, and are therefore subject to the general regulations applicable to agreements between companies:</w:t>
        <w:br/>
        <w:t>− the obligations assumed by the buyer of (i) not using confidential information to compete (ii) permanence, (iii) non-solicitation and (iv) confidentiality;</w:t>
        <w:br/>
        <w:t>− the temporal scope (to the extent that it exceeds two years) of the obligations assumed by the seller of (i) not using confidential information to compete, (ii) permanence, (iii) non-solicitation and (iv) confidentiality;</w:t>
        <w:br/>
        <w:t>− the material scope (to the extent that it exceeds the activities of the companies that the seller transferred to the resulting entity) of the obligation not to use confidential information to compete assumed by the seller;</w:t>
        <w:br/>
        <w:t>− and the geographical scope (to the extent that it exceeds the area in which the companies transferred by the seller carried out their activities or had planned to enter at the time of the transaction, provided that they had already made investments for that purpose) of the obligation not to use confidential information to compete assumed by the seller.</w:t>
        <w:br/>
        <w:t>All of this in accordance with what is indicated in the aforementioned report proposal from the Directorate of Competition.</w:t>
        <w:br/>
        <w:t>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counting of deadlines will resume at the moment this royal decree or, where applicable, its extensions cease to be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