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https://www.cnmc.es/expedientes/c111020</w:t>
      </w:r>
    </w:p>
    <w:p>
      <w:r>
        <w:t>Pages translated : 2</w:t>
      </w:r>
    </w:p>
    <w:p/>
    <w:p>
      <w:r>
        <w:rPr>
          <w:b/>
        </w:rPr>
        <w:t>[Pages 1–2]</w:t>
      </w:r>
    </w:p>
    <w:p>
      <w:r>
        <w:t>RESOLUTION</w:t>
        <w:br/>
        <w:t>CASE FILE C/1110/20 XFERA / LYCA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May 28, 2020</w:t>
        <w:br/>
        <w:t>The Competition Chamber has analyzed the concentration file processed in accordance with Law 15/2007, of July 3, on the Defense of Competition, consisting of the acquisition by XFERA MOVILES, S.A.U. (XFERA) of exclusive control of LYCAMOBIL, S.L.U. (LYCA).</w:t>
        <w:b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br/>
        <w:t>In accordance with the report and proposal submitted by the Directorate of Competition, the Competition Chamber has resolved, under the application of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non-competition and confidentiality agreements are not considered ancillary to the concentration operation to the extent that they exceed a maximum period of two years from the execution of the concentration operation and, therefore, will be subject to the general regulations applicable to agreements between companies.</w:t>
        <w:br/>
        <w:t>Additionally, regarding the non-competition agreement, it is not considered ancillary to the concentration operation concerning markets in which the acquired entity did not operate prior to the operation, remaining in this aspect subject to the general regulations applicable to agreements between companies. All of this in accordance with what is indicated in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a period of two months. It is noted that, in accordance with the provisions of the second additional provision of Royal Decree 463/2020, of March 14, and Article 8 of Royal Decree 537/2020, of May 22, which extends the state of alarm, this period will be computed from June 4,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