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https://www.cnmc.es/expedientes/c111120</w:t>
      </w:r>
    </w:p>
    <w:p>
      <w:r>
        <w:t>Pages translated : 2</w:t>
      </w:r>
    </w:p>
    <w:p/>
    <w:p>
      <w:r>
        <w:rPr>
          <w:b/>
        </w:rPr>
        <w:t>[Pages 1–2]</w:t>
      </w:r>
    </w:p>
    <w:p>
      <w:r>
        <w:t xml:space="preserve">RESOLUTION  </w:t>
        <w:br/>
        <w:t xml:space="preserve">CASE FILE C/1111/20 DEA CAPITAL AF / PIERALISI  </w:t>
        <w:br/>
        <w:t xml:space="preserve">COMPETITION CHAMBER  </w:t>
        <w:br/>
        <w:t xml:space="preserve">President  </w:t>
        <w:br/>
        <w:t xml:space="preserve">Mr. José María Marín Quemada  </w:t>
        <w:br/>
        <w:t xml:space="preserve">Counselors  </w:t>
        <w:br/>
        <w:t xml:space="preserve">Ms. María Ortiz Aguilar  </w:t>
        <w:br/>
        <w:t xml:space="preserve">Mr. Josep María Guinart Solà  </w:t>
        <w:br/>
        <w:t xml:space="preserve">Ms. Clotilde de la Higuera González  </w:t>
        <w:br/>
        <w:t xml:space="preserve">Ms. María Pilar Canedo Arrillaga  </w:t>
        <w:br/>
        <w:t xml:space="preserve">Secretary of the Council  </w:t>
        <w:br/>
        <w:t xml:space="preserve">Mr. Joaquim Hortalà i Vallvé  </w:t>
        <w:br/>
        <w:t>In Madrid, April 30, 2020</w:t>
      </w:r>
    </w:p>
    <w:p>
      <w:r>
        <w:t>The Competition Chamber has analyzed the merger file processed in accordance with Law 15/2007, of July 3, on the Defense of Competition, consisting of the acquisition by DEA CAPITAL ALTERNATIVE FUNDS s.g.r. S.p.a of exclusive control of PIERALISI MAIP S.p.a. Subsequently, on April 20, 2020, this notification was completed by providing attached documentation in accordance with the provisions of the Competition Defense Regulation, approved by Royal Decree 261/2008, of February 22 (RDC).</w:t>
      </w:r>
    </w:p>
    <w:p>
      <w:r>
        <w:t>The third additional provision of Royal Decree 463/2020, of March 14, which declares the state of alarm for the management of the health crisis situation caused by COVID-19, provides for the suspension of terms and deadlines for the processing of procedures. However, its sections 3 and 4, amended by Royal Decree 465/2020, of March 17, allow for the continuation of procedures to avoid serious harm to the rights and interests of the parties involved or when it is essential for the protection of the general interest or for the basic functioning of services.</w:t>
      </w:r>
    </w:p>
    <w:p>
      <w:r>
        <w:t>In view of the interest expressed by the notifier in the urgent resolution of this procedure and that the resolution of the procedure does not harm the interests of third parties, this Chamber agrees to continue the processing of the procedure.</w:t>
      </w:r>
    </w:p>
    <w:p>
      <w:r>
        <w:t>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of Markets and Competition and notified to the interested party, informing them that it concludes the administrative route and that a contentious-administrative appeal may be filed against it before the National Court, within two months from the day following its notification. However, it is noted that, in accordance with the provisions of the second additional provision of Royal Decree 463/2020, of March 14, "terms are suspended and the deadlines provided in procedural laws for all jurisdictional orders are suspended and interrupted. The computation of the deadlines will resume at the moment when this royal decree or, where appropriate, its extensions lose validity."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