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https://www.cnmc.es/expedientes/c111220</w:t>
      </w:r>
    </w:p>
    <w:p>
      <w:r>
        <w:t>Pages translated : 2</w:t>
      </w:r>
    </w:p>
    <w:p/>
    <w:p>
      <w:r>
        <w:rPr>
          <w:b/>
        </w:rPr>
        <w:t>[Pages 1–2]</w:t>
      </w:r>
    </w:p>
    <w:p>
      <w:r>
        <w:t>RESOLUTION</w:t>
        <w:br/>
        <w:t>CASE FILE C/1112/20 EQUIPAFASA / ACTIVOS SIMPLY</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May 8, 2020</w:t>
        <w:br/>
        <w:t>The Competition Chamber has analyzed the concentration file processed in accordance with Law 15/2007, of July 3, on the Defense of Competition, consisting of the exclusive control acquisition of assets linked to the operation of 10 retail distribution establishments of daily consumer goods of SABEKO, which operates under the SIMPLY brand (SIMPLY Assets) by EQUIPAFASA, which operates under the EROSKI brand.</w:t>
        <w:br/>
        <w:t>The third additional provision of Royal Decree 463/2020, of March 14, which declares the state of alarm for the management of the health crisis situation caused by COVID-19, provides for the suspension of terms and deadlines for the processing of procedures. However, its sections 3 and 4, modified by Royal Decree 465/2020, of March 17, allow for the continuation of procedures to avoid serious harm to the rights and interests of the parties involved or when it is essential for the protection of the general interest or for the basic functioning of services.</w:t>
        <w:br/>
        <w:t>In view of the interest expressed by the notifier in the urgent resolution of this procedure and that the resolution of the procedure does not harm the interests of third parties, this Chamber agrees to continue the processing of the procedure.</w:t>
        <w:br/>
        <w:t>In accordance with the report and proposal submitted by the Directorate of Competition, the Competition Chamber has resolved, under the application of Article 57.2.a) of the aforementioned Law 15/2007, of July 3, to authorize the aforementioned concentration operation.</w:t>
        <w:br/>
        <w:t>This Resolution shall be communicated to the Directorate of Competition of the National Commission of Markets and Competition and notified to the interested party, informing them that it concludes the administrative route and that a contentious-administrative appeal may be filed against it before the National Court, within two months from the day following its notification. However, it is noted that, in accordance with the provisions of the second additional provision of Royal Decree 463/2020, of March 14, "terms are suspended and the deadlines provided for in procedural laws for all jurisdictional orders are suspended and interrupted. The computation of deadlines will resume at the moment when this royal decree or, where applicable, its extensions lose validity."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