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https://www.cnmc.es/expedientes/c111320</w:t>
      </w:r>
    </w:p>
    <w:p>
      <w:r>
        <w:t>Pages translated : 2</w:t>
      </w:r>
    </w:p>
    <w:p/>
    <w:p>
      <w:r>
        <w:rPr>
          <w:b/>
        </w:rPr>
        <w:t>[Pages 1–2]</w:t>
      </w:r>
    </w:p>
    <w:p>
      <w:r>
        <w:t>RESOLUTION</w:t>
        <w:br/>
        <w:t>FILE NO. C/1113/20 MAGNUM CAPITAL II / EUROPEAN IO-N INVESTMENT / LCRT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May 28, 2020</w:t>
      </w:r>
    </w:p>
    <w:p>
      <w:r>
        <w:t>The Competition Chamber has analyzed the concentration file processed in accordance with Law 15/2007, of July 3, on the Defense of Competition, consisting of the acquisition by MAGNUM CAPITAL II (SCA) SICAR (MAGNUM) and EUROPEAN IO-N INVESTMENT GROUP, SL. (ION) of joint control of LEAST COST ROUTING TELECOM, S.L. (LCRT) through the instrumental company VENEGA, jointly controlled by MAGNUM and ION, through the purchase of 100% of its share capital.</w:t>
      </w:r>
    </w:p>
    <w:p>
      <w: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r>
    </w:p>
    <w:p>
      <w: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applying Article 57.2.a) of the aforementioned Law 15/2007, of July 3, to authorize the aforementioned concentration operation.</w:t>
      </w:r>
    </w:p>
    <w:p>
      <w:r>
        <w:t>Likewise, it is necessary to analyze the operation taking into account the Communication from the European Commission on restrictions directly linked to the execution of a concentration and necessary for that purpose (2005/C 56/03). This Chamber considers that the non-compete agreement, in what exceeds a duration of two years and regarding restrictions on holdings in competitors exceeding 15% that do not confer control, decisive influence, or management functions, will be subject to the regulations on agreements between companies.</w:t>
      </w:r>
    </w:p>
    <w:p>
      <w:r>
        <w:t>As for the marketing agreements and the collection mandate and the service agreement, in what exceeds a period of 5 years, they are not considered ancillary to the operation and will be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route and that a contentious-administrative appeal may be filed against it before the National Court, within a period of two months. It is noted that, in accordance with the provisions of the second additional provision of Royal Decree 463/2020, of March 14, and in Article 8 of Royal Decree 537/2020, of May 22, which extends the state of alarm, said period will be computed from June 4,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