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https://www.cnmc.es/expedientes/c111420</w:t>
      </w:r>
    </w:p>
    <w:p>
      <w:r>
        <w:t>Pages translated : 2</w:t>
      </w:r>
    </w:p>
    <w:p/>
    <w:p>
      <w:r>
        <w:rPr>
          <w:b/>
        </w:rPr>
        <w:t>[Pages 1–2]</w:t>
      </w:r>
    </w:p>
    <w:p>
      <w:r>
        <w:t>RESOLUTION</w:t>
        <w:br/>
        <w:t>CASE FILE C/1114/20 AMUNDI / SABAM</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June 12, 2020</w:t>
        <w:br/>
        <w:t xml:space="preserve">The Competition Chamber has analyzed the concentration case file processed in accordance with Law 15/2007, of July 3, on the Defense of Competition, consisting of the acquisition of exclusive control by AMUNDI ASSET MANAGEMENT (AMUNDI) over SABADELL ASSET MANAGEMENT, S.A., S.G.I.I.C., Sole Proprietorship (SABAM) through the acquisition of 100% of its shares, controlling all its share capital and that of its subsidiaries included in the transaction. The deadline to agree to initiate the second phase of the procedure is July 1, 2020, inclusive. After this date, the notified operation will be considered tacitly authorized. In accordance with the report and proposal submitted by the Competition Directorate, the Competition Chamber has resolved, under the application of Article 57.2.a) of the aforementioned Law 15/2007, of July 3, to authorize the aforementioned concentration operation. </w:t>
        <w:br/>
        <w:t>Likewise, it is necessary to analyze the operation taking into account the Communication from the European Commission on restrictions directly linked to the execution of a concentration and necessary for that purpose (2005/C 56/03). This Chamber considers that the following clauses should not be considered ancillary as they go beyond what is reasonably required by the notified concentration operation, and therefore remain subject to the general regulations applicable to agreements between companies:</w:t>
        <w:br/>
        <w:t>- in relation to its material scope:</w:t>
        <w:br/>
        <w:t xml:space="preserve">  - from the Non-Competition Clause, the prohibition of acquiring financial interests that do not imply control of a company considered a competitor of the business;</w:t>
        <w:br/>
        <w:t xml:space="preserve">  - from the Non-Competition Clause, what goes beyond the activities of the acquired entity;</w:t>
        <w:br/>
        <w:t xml:space="preserve">  - from the Distribution Agreement, what exceeds the fixed quantities previously supplied;</w:t>
        <w:br/>
        <w:t xml:space="preserve">  - from the Distribution Agreement, what goes beyond the marketing of the products of the acquired entity;</w:t>
        <w:br/>
        <w:t xml:space="preserve">  - and from the Services Agreement, the exclusivity;</w:t>
        <w:br/>
        <w:t>- and in relation to the temporal scope:</w:t>
        <w:br/>
        <w:t xml:space="preserve">  - from the Non-Competition Clause, what exceeds the two years established by the Communication;</w:t>
        <w:br/>
        <w:t xml:space="preserve">  - from the Non-Disclosure Clause, what exceeds the two years established by the Communication;</w:t>
        <w:br/>
        <w:t xml:space="preserve">  - from the Services Agreement, what exceeds the five years established by the Communication;</w:t>
        <w:br/>
        <w:t xml:space="preserve">  - and from the Distribution Agreement, what exceeds the five years established by the Communication.</w:t>
        <w:br/>
        <w:t>All of this in accordance with what is indicated in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