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https://www.cnmc.es/expedientes/c111520</w:t>
      </w:r>
    </w:p>
    <w:p>
      <w:r>
        <w:t>Pages translated : 2</w:t>
      </w:r>
    </w:p>
    <w:p/>
    <w:p>
      <w:r>
        <w:rPr>
          <w:b/>
        </w:rPr>
        <w:t>[Pages 1–2]</w:t>
      </w:r>
    </w:p>
    <w:p>
      <w:r>
        <w:t>RESOLUTION</w:t>
        <w:br/>
        <w:t>CASE FILE C/1115/20 ADVANCE PUBLICATIONS, INC / WORLD ENDURANCE HOLDINGS, INC</w:t>
        <w:br/>
        <w:t>COMPETITION CHAMBER</w:t>
      </w:r>
    </w:p>
    <w:p>
      <w:r>
        <w:t>President</w:t>
        <w:br/>
        <w:t>Ms. Cani Fernández Vicién</w:t>
      </w:r>
    </w:p>
    <w:p>
      <w:r>
        <w:t>Counselors</w:t>
        <w:br/>
        <w:t>Ms. María Ortiz Aguilar</w:t>
        <w:br/>
        <w:t>Ms. María Pilar Canedo Arrillaga</w:t>
        <w:br/>
        <w:t>Mr. Carlos Aguilar Paredes</w:t>
        <w:br/>
        <w:t>Mr. Josep Maria Salas Prat</w:t>
      </w:r>
    </w:p>
    <w:p>
      <w:r>
        <w:t>Secretary of the Council</w:t>
        <w:br/>
        <w:t>Mr. Joaquim Hortalà i Vallvé</w:t>
      </w:r>
    </w:p>
    <w:p>
      <w:r>
        <w:t>In Madrid, June 30, 2020</w:t>
      </w:r>
    </w:p>
    <w:p>
      <w:r>
        <w:t>The Competition Chamber has analyzed the merger case file processed in accordance with Law 15/2007, of July 3, on the Defense of Competition, consisting of the acquisition by a subsidiary of A/NPC HOLDINGS, LLC, of exclusive control of WORLD ENDURANCE HOLDINGS, INC. (“WORLD ENDURANCE”) through the acquisition of practically all the assets of WORLD ENDURANCE. In accordance with the report and proposal submitted by the Directorate of Competition, the Competition Chamber has resolved, applying Article 57.2.a) of the aforementioned Law 15/2007, of July 3, to authorize the said merger operation.</w:t>
      </w:r>
    </w:p>
    <w:p>
      <w:r>
        <w:t>Furthermore, it is necessary to analyze the operation taking into account the Communication from the European Commission on restrictions directly linked to the execution of a merger and necessary for that purpose (2005/C 56/03). This Chamber considers that the buyer's confidentiality obligation and the temporal scope (beyond two years) of the non-solicitation and confidentiality clauses go beyond what is reasonably required by the notified merger operation, remaining in this aspect subject to the general regulations applicable to agreements between companies. All of this in accordance with what is indicated in the aforementioned report proposal from the Directorate of Competition.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a period of two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