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https://www.cnmc.es/expedientes/c111620</w:t>
      </w:r>
    </w:p>
    <w:p>
      <w:r>
        <w:t>Pages translated : 2</w:t>
      </w:r>
    </w:p>
    <w:p/>
    <w:p>
      <w:r>
        <w:rPr>
          <w:b/>
        </w:rPr>
        <w:t>[Pages 1–2]</w:t>
      </w:r>
    </w:p>
    <w:p>
      <w:r>
        <w:t>RESOLUTION</w:t>
        <w:br/>
        <w:t>CASE FILE C/1116/20 PIGMENTS / FERRO CORPORATION</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15, 2020</w:t>
        <w:br/>
        <w:t>The Competition Chamber has analyzed the merger case file processed in accordance with Law 15/2007, of July 3, on the Defense of Competition, consisting of the acquisition by PIGMENTS SPAIN, S.L. (“PIGMENTS”) of exclusive control over various assets and liabilities and several companies owned by FERRO CORPORATION (“FERRO”). In relation to Spain, the Operation involves the acquisition of shares of FERRO SPAIN, S.A. (“FERRO SPAIN”), ENDEKA HOLDCO SPAIN, S.L.U. (“ENDEKA”), ENDEKA CERAMICS, S.L. (“ENDEKA CERAMICS”), ZIRCOSIL S.L.U. (“ZIRCOSIL”), QUIMICER S.L.U. (“QUIMICER”) and certain assets owned by GARDENIA-QUÍMICA, S.A. (“GARDENIA”). According to the report and proposal submitted by the Competition Directorate, the Competition Chamber has resolved, in application of Article 57.2.b) of the aforementioned Law 15/2007, of July 3, to authorize the aforementioned merger operation, subject to compliance with the commitments proposed by the parties on November 26, 2020, included in section VIII of the proposal report.</w:t>
        <w:br/>
        <w:t>It is also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and necessary restrictions for the operation, thus remaining subject to the regulations on agreements between companies: (i) regarding the content of the non-compete clause of the ASPA, any limitation on the acquisition or holding of shares in a competing company for exclusively financial investment purposes, which do not confer directly or indirectly management functions or substantial influence therein; (ii) regarding the duration of the non-compete, non-solicitation, and confidentiality clauses, anything exceeding the two (2) years established in the aforementioned Communication; (iii) the content of the supply obligations and (iv) the service provision agreements insofar as they establish an obligation of exclusivity in the supply of such products or confer the status of preferred buyer or supplier. All of this in accordance with what is indicated in the aforementioned proposal report from the Competition Directorate.</w:t>
        <w:b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