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https://www.cnmc.es/expedientes/c111720</w:t>
      </w:r>
    </w:p>
    <w:p>
      <w:r>
        <w:t>Pages translated : 2</w:t>
      </w:r>
    </w:p>
    <w:p/>
    <w:p>
      <w:r>
        <w:rPr>
          <w:b/>
        </w:rPr>
        <w:t>[Pages 1–2]</w:t>
      </w:r>
    </w:p>
    <w:p>
      <w:r>
        <w:t>RESOLUTION</w:t>
        <w:br/>
        <w:t>CASE FILE C/1117/20 VT GROUP / BOLUDA GROUP COMPANIES</w:t>
        <w:br/>
        <w:t>COMPETITION CHAMBER</w:t>
        <w:br/>
        <w:t>President</w:t>
        <w:br/>
        <w:t>Ms. Cani Fernández Vicién</w:t>
        <w:br/>
        <w:t>Counselors</w:t>
        <w:br/>
        <w:t>Ms. María Ortiz Aguilar</w:t>
        <w:br/>
        <w:t>Ms. María Pilar Canedo Arrillaga</w:t>
        <w:br/>
        <w:t>Mr. Carlos Aguilar Paredes</w:t>
        <w:br/>
        <w:t>Mr. Josep Maria Salas Prat</w:t>
        <w:br/>
        <w:t>Secretary of the Council</w:t>
        <w:br/>
        <w:t>Mr. Joaquim Hortalà i Vallvé</w:t>
        <w:br/>
        <w:t>In Madrid, July 28, 2020</w:t>
        <w:br/>
        <w:t>The Competition Chamber has analyzed the concentration case file processed in accordance with Law 15/2007, of July 3, on the Defense of Competition, consisting of the acquisition by UNILLOYD, B.V. of 100% of the shares and interests of the TARGET COMPANIES (BOLUDA TANKERS, S.A.U., EUROTANKER INTERNACIONAL, S.L.U., and COMPAÑÍA MARÍTIMA DE PANAMÁ, S.A.), achieving exclusive control over them. In accordance with the report and proposal submitted by the Directorate of Competition, the Competition Chamber has resolved, applying Article 57.2.a) of the aforementioned Law 15/2007, of July 3, to authorize the said concentration operation.</w:t>
        <w:br/>
        <w:t>Furthermore, it is necessary to analyze the operation taking into account the Communication from the European Commission regarding restrictions directly linked to the execution of a concentration and necessary for that purpose (2005/C 56/03). This Chamber considers that, in relation to the content of the non-compete clause, the limitation on investment in competing businesses that do not confer direct or indirect management functions or substantial influence on the competing company is not considered ancillary and necessary for the operation, and is therefore subject to the regulations on agreements between companies.</w:t>
        <w:br/>
        <w:t>Regarding the future TSA, to the extent that its content is unknown as it is in the negotiation phase between the parties, it cannot be considered an ancillary and necessary restriction for the operation, remaining subject to the regulations on agreements between companies for the agreement that is ultimately adopted.</w:t>
        <w:br/>
        <w:t>All of this in accordance with what is indicated in the aforementioned report proposal from the Directorate of Competition.</w:t>
        <w:br/>
        <w:t>This Resolution shall be communicated to the Directorate of Competition of the National Commission on Markets and Competition and notified to the interested party, informing them that it concludes the administrative process and that a contentious-administrative appeal may be filed against it before the National Court, within a period of two months.</w:t>
        <w:br/>
        <w:t>President Secretary of the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