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https://www.cnmc.es/expedientes/c111920</w:t>
      </w:r>
    </w:p>
    <w:p>
      <w:r>
        <w:t>Pages translated : 1</w:t>
      </w:r>
    </w:p>
    <w:p/>
    <w:p>
      <w:r>
        <w:rPr>
          <w:b/>
        </w:rPr>
        <w:t>[Pages 1–1]</w:t>
      </w:r>
    </w:p>
    <w:p>
      <w:r>
        <w:t xml:space="preserve">RESOLUTION  </w:t>
        <w:br/>
        <w:t xml:space="preserve">CASE FILE C/1119/20 NOMAR/ARGENTA AND CIFRE  </w:t>
        <w:br/>
        <w:t xml:space="preserve">COMPETITION CHAMBER  </w:t>
        <w:br/>
        <w:t xml:space="preserve">President  </w:t>
        <w:br/>
        <w:t xml:space="preserve">Ms. Cani Fernández Vicién  </w:t>
        <w:br/>
        <w:t xml:space="preserve">Counselors  </w:t>
        <w:br/>
        <w:t xml:space="preserve">Ms. María Ortiz Aguilar  </w:t>
        <w:br/>
        <w:t xml:space="preserve">Ms. María Pilar Canedo Arrillaga  </w:t>
        <w:br/>
        <w:t xml:space="preserve">Mr. Carlos Aguilar Paredes  </w:t>
        <w:br/>
        <w:t xml:space="preserve">Secretary of the Council  </w:t>
        <w:br/>
        <w:t xml:space="preserve">Mr. Joaquim Hortalà i Vallvé  </w:t>
        <w:br/>
        <w:t>In Madrid, October 13, 2020</w:t>
      </w:r>
    </w:p>
    <w:p>
      <w:r>
        <w:t>The Competition Chamber has analyzed the concentration case file processed in accordance with Law 15/2007, of July 3, on the Defense of Competition, consisting of the acquisition of exclusive control of ARGENTA CERÁMICA, S.L. (hereinafter, ARGENTA) and CIFRE CERÁMICA, S.L. (hereinafter, CIFRE), collectively the "ACQUIRED BUSINESS," by NOMAR PATRIMONIAL, S.L. (hereinafter, NOMAR). In accordance with the report and proposal submitted by the Competition Directorate, the Competition Chamber has resolved, pursuant to Article 57.2.a) of the aforementioned Law 15/2007, of July 3, to authorize the aforementioned concentration operation.</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