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https://www.cnmc.es/expedientes/c112320</w:t>
      </w:r>
    </w:p>
    <w:p>
      <w:r>
        <w:t>Pages translated : 2</w:t>
      </w:r>
    </w:p>
    <w:p/>
    <w:p>
      <w:r>
        <w:rPr>
          <w:b/>
        </w:rPr>
        <w:t>[Pages 1–2]</w:t>
      </w:r>
    </w:p>
    <w:p>
      <w:r>
        <w:t>RESOLUTION</w:t>
        <w:br/>
        <w:t>CASE FILE C/1123/20 MEIF 6 / VIAMED</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September 8, 2020</w:t>
      </w:r>
    </w:p>
    <w:p>
      <w:r>
        <w:t>The Competition Chamber has analyzed the merger file processed in accordance with Law 15/2007, of July 3, on the Defense of Competition, consisting of the acquisition by Macquarie European Infrastructure Fund 6 SCSp (hereinafter, MEIF 6), through a new company pending creation, MEIF 6 Amistad, of exclusive control over Grupo Viamed, by acquiring 100% of Viamed Salud, S.L. (hereinafter, VIAMED SALUD) and the shares that FIRSA II - Inversiones Riojanas, S.A. (hereinafter, FIRSA) holds in two companies participated by VIAMED SALUD: Clínica Los Manzanos, S.L., CLM (18%) and Corporación Sociosanitaria de La Rioja, S.L., CSSR (44.97%), of which VIAMED SALUD currently holds the remaining shares. Therefore, after the operation, MEIF 6, through MEIF 6 Amistad, will hold 100% of the share capital of VIAMED SALUD, CLM, and CSSR and, consequently, of the entire Grupo Viamed. In accordance with the report and proposal submitted by the Competition Directorate, the Competition Chamber has resolved, applying Article 57.2.a) of the aforementioned Law 15/2007, of July 3, to authorize the aforementioned merger operation.</w:t>
      </w:r>
    </w:p>
    <w:p>
      <w:r>
        <w:t>It is also necessary to analyze the operation taking into account the Communication from the European Commission regarding restrictions directly linked to the execution of a merger and necessary for that purpose (2005/C 56/03). This Chamber considers that, regarding ancillary restrictions, they are deemed to go beyond what is reasonably required by the notified merger operation, and the following restrictions should not be considered ancillary:</w:t>
        <w:br/>
        <w:t>- Regarding the geographical scope of the Non-Competition Clause, actions that are not limited to the area where the acquired company offered its services or where it planned to enter, provided that it has made the necessary investments.</w:t>
        <w:br/>
        <w:t>- Regarding the material scope of the Non-Competition Clause, the prohibition of acquiring financial interests exceeding [0-10]% of its share capital and that do not imply control of a company considered a competitor of the business.</w:t>
        <w:br/>
        <w:t>- Regarding the material scope of the Non-Competition Clause, the services that the acquired company did not offer, provided that they were not in an advanced stage of development at the time of the transaction.</w:t>
        <w:br/>
        <w:t>- The buyer's obligation not to disclose confidential information.</w:t>
        <w:br/>
        <w:t>- Regarding the temporal scope of the obligation not to disclose confidential information of the sellers, the unlimited term (which exceeds the two years established by the communication).</w:t>
      </w:r>
    </w:p>
    <w:p>
      <w:r>
        <w:t>All of this in accordance with what is indicated in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route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