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https://www.cnmc.es/expedientes/c112520</w:t>
      </w:r>
    </w:p>
    <w:p>
      <w:r>
        <w:t>Pages translated : 2</w:t>
      </w:r>
    </w:p>
    <w:p/>
    <w:p>
      <w:r>
        <w:rPr>
          <w:b/>
        </w:rPr>
        <w:t>[Pages 1–2]</w:t>
      </w:r>
    </w:p>
    <w:p>
      <w:r>
        <w:t>RESOLUTION</w:t>
        <w:br/>
        <w:t>CASE FILE C/1125/20 RUBIS TERMINAL / TEPSA</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September 17, 2020</w:t>
        <w:br/>
        <w:t>The Competition Chamber has analyzed the merger file processed in accordance with Law 15/2007, of July 3, on the Defense of Competition, consisting of the acquisition by RUBIS TERMINAL, S.A.S., (hereinafter, RUBIS) through its 100% owned Spanish subsidiary, MAEGOR INVESTMENTS, S.L.U., of 100% of the shares of TERMINALES PORTUARIAS, S.L. (hereinafter TEPSA) and, therefore, its exclusive control. In accordance with the report and the proposal submitted by the Directorate of Competition, the Competition Chamber has resolved, applying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This Chamber considers that the following will not be considered as ancillary and necessary restrictions for the operation: i) the duration of the confidentiality clause, to the extent that it exceeds two (2) years from the date of closing of this operation and its content in the part that protects the seller, and ii) in the scope of the non-compete clauses, any limitation on the acquisition or holding by the seller of investment shares that do not imply the acquisition of control or significant influence in other companies, regardless of the percentage of participation acquired, thus remaining subject to the general regulations applicable to agreements between companies. All of this in accordance with what is indicated in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