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https://www.cnmc.es/expedientes/c112620</w:t>
      </w:r>
    </w:p>
    <w:p>
      <w:r>
        <w:t>Pages translated : 2</w:t>
      </w:r>
    </w:p>
    <w:p/>
    <w:p>
      <w:r>
        <w:rPr>
          <w:b/>
        </w:rPr>
        <w:t>[Pages 1–2]</w:t>
      </w:r>
    </w:p>
    <w:p>
      <w:r>
        <w:t>RESOLUTION</w:t>
        <w:br/>
        <w:t>CASE FILE C/1126/20 NEURAXPHARM / BUCCOLAM ASSETS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September 22, 2020</w:t>
      </w:r>
    </w:p>
    <w:p>
      <w:r>
        <w:t>The Competition Chamber has analyzed the merger file processed in accordance with Law 15/2007, of July 3, on the Defense of Competition, consisting of the acquisition of all assets related to BUCCOLAM (hereinafter, BUCCOLAM ASSETS) by APAX PARTNERS LLP (hereinafter, AP) through NEURAXPHARM HOLDCO SARL (hereinafter, NEURAXPHARM).</w:t>
      </w:r>
    </w:p>
    <w:p>
      <w:r>
        <w:t>In accordance with the report and proposal submitted by the Competition Directorate, the Competition Chamber has resolved, applying Article 57.2.a) of the aforementioned Law 15/2007, of July 3, to authorize the aforementioned merger operation.</w:t>
      </w:r>
    </w:p>
    <w:p>
      <w:r>
        <w:t>Furthermore, it is necessary to analyze the operation taking into account the Communication from the European Commission on restrictions directly linked to the execution of a merger and necessary for that purpose (2005/C 56/03). This Chamber considers that the following will not be regarded as ancillary and necessary restrictions for the operation: i) with respect to the non-compete clause, any limitation on the acquisition or holding of shares in a company, whether or not it competes with the acquired company, for exclusively financial investment purposes that do not confer directly or indirectly management functions or substantial influence in the competing company, regardless of the percentage of participation acquired, as well as ii) with respect to purchase and supply obligations, their duration for any period exceeding five (5) years after closing, and regarding the still non-definitive content of the CDT and CTF, to the extent that it may exceed both in content and duration what is considered reasonable by the aforementioned Communication for this type of agreements. To the extent that such restrictions are not considered ancillary to the merger operation, they are therefore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