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https://www.cnmc.es/expedientes/c112720</w:t>
      </w:r>
    </w:p>
    <w:p>
      <w:r>
        <w:t>Pages translated : 2</w:t>
      </w:r>
    </w:p>
    <w:p/>
    <w:p>
      <w:r>
        <w:rPr>
          <w:b/>
        </w:rPr>
        <w:t>[Pages 1–2]</w:t>
      </w:r>
    </w:p>
    <w:p>
      <w:r>
        <w:t xml:space="preserve">RESOLUTION  </w:t>
        <w:br/>
        <w:t xml:space="preserve">CASE FILE C/1127/20 APG / VIA LP  </w:t>
        <w:br/>
        <w:t xml:space="preserve">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In Barcelona, September 29, 2020</w:t>
      </w:r>
    </w:p>
    <w:p>
      <w:r>
        <w:t>The Competition Chamber has analyzed the concentration case file processed in accordance with Law 15/2007, of July 3, on the Defense of Competition, consisting of the acquisition by APG Strategic Real Estate Pool (hereinafter, APG) of exclusive control of the limited partnership VIA LP, over which it already exercises joint control, through the acquisition of the 50% stake currently held by the Hammerson Group. According to the report and proposal submitted by the Directorate of Competition, the Competition Chamber has resolved, in application of Article 57.2.a) of the aforementioned Law 15/2007, of July 3, to authorize the said concentration operation.</w:t>
      </w:r>
    </w:p>
    <w:p>
      <w:r>
        <w:t>Likewise, it is appropriate to analyze the operation taking into account the Communication from the European Commission on restrictions directly linked to the execution of a concentration and necessary for that purpose (2005/C 56/03). This Chamber considers that regarding ancillary restrictions, the material scope of the Non-Competition Clause, which is not limited to the activities carried out by the acquired company at the time of the transaction, is deemed to go beyond what is reasonably required by the notified concentration operation and should not be considered ancillary. Therefore, such restriction would be subject to the general regulations applicable to agreements between companies. 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a period of two months.  </w:t>
        <w:br/>
        <w:t xml:space="preserve">President  </w:t>
        <w:br/>
        <w:t>Secretary of the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