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https://www.cnmc.es/expedientes/c112820</w:t>
      </w:r>
    </w:p>
    <w:p>
      <w:r>
        <w:t>Pages translated : 2</w:t>
      </w:r>
    </w:p>
    <w:p/>
    <w:p>
      <w:r>
        <w:rPr>
          <w:b/>
        </w:rPr>
        <w:t>[Pages 1–2]</w:t>
      </w:r>
    </w:p>
    <w:p>
      <w:r>
        <w:t>RESOLUTION</w:t>
        <w:br/>
        <w:t>CASE FILE C/1028/20 ENOPLASTIC / SPARFLEX</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February 23, 2021</w:t>
        <w:br/>
        <w:t>The Competition Chamber has analyzed the merger case file processed in accordance with Law 15/2007, of July 3, on the Defense of Competition, consisting of the acquisition of exclusive control of SPARFLEX, S.A. (SPARFLEX) by ENOFLEX, S.P.A (ENOFLEX). In accordance with the report and proposal submitted by the Competition Directorate, the Competition Chamber has resolved, pursuant to article 57.2.b) of the aforementioned Law 15/2007, of July 3, to authorize the aforementioned merger operation subject to the fulfillment of the commitments presented on February 18, 2021.</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regarding the non-compete clause, it is deemed that in the present case, in all that exceeds the geographical scope in which the acquired business was present and that limits the acquisition or holding by the participants of investment shares that do not imply the acquisition of control or substantial influence in other companies goes beyond what is reasonable for the achievement of the operation, and will not be considered an ancillary and necessary restriction for the operation, thus remaining subject to the general regulations applicable to agreements between companies. All of this in accordance with what is indicated in the aforementioned report proposal from the Competition Directorate.</w:t>
        <w:br/>
        <w:t>Communicate this Resolution to the Competition Directorate of the National Commission of Markets and Competition and notify the interested party, informing them that this concludes the administrative process and that a contentious-administrative appeal can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