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https://www.cnmc.es/expedientes/c113020</w:t>
      </w:r>
    </w:p>
    <w:p>
      <w:r>
        <w:t>Pages translated : 1</w:t>
      </w:r>
    </w:p>
    <w:p/>
    <w:p>
      <w:r>
        <w:rPr>
          <w:b/>
        </w:rPr>
        <w:t>[Pages 1–1]</w:t>
      </w:r>
    </w:p>
    <w:p>
      <w:r>
        <w:t>RESOLUTION</w:t>
        <w:br/>
        <w:t>FILE NO. C/1130/20 Q-ENERGY / TORRESOL</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October 27, 2020</w:t>
      </w:r>
    </w:p>
    <w:p>
      <w:r>
        <w:t>The Competition Chamber has analyzed the merger file processed in accordance with Law 15/2007, of July 3, on the Defense of Competition, consisting of the acquisition of exclusive control by TORRESOL ENERGY INVESTMENTS, S.A. (hereinafter, TORRESOL) by Q-ENERGY PRIVATE EQUITY, SGEIC, S.A. (hereinafter, Q-ENERGY), through RUBATO ENERGY S.L. (hereinafter, "Vehicle"), a company 100% owned by Q-ENERGY TYG IV, whose management company is Q-ENERGY.</w:t>
      </w:r>
    </w:p>
    <w:p>
      <w:r>
        <w:t>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