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https://www.cnmc.es/expedientes/c113120</w:t>
      </w:r>
    </w:p>
    <w:p>
      <w:r>
        <w:t>Pages translated : 2</w:t>
      </w:r>
    </w:p>
    <w:p/>
    <w:p>
      <w:r>
        <w:rPr>
          <w:b/>
        </w:rPr>
        <w:t>[Pages 1–2]</w:t>
      </w:r>
    </w:p>
    <w:p>
      <w:r>
        <w:t>RESOLUTION</w:t>
        <w:br/>
        <w:t>CASE FILE C/1131/20 SECURE CAPITAL SOLUTIONS 2000 / HOSPITAL POLUSA</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October 27, 2020</w:t>
        <w:br/>
        <w:t>The Competition Chamber has analyzed the merger file processed in accordance with Law 15/2007, of July 3, on the Defense of Competition, consisting of the acquisition by SECURE CAPITAL SOLUTIONS 2000, S.L.U. (hereinafter, SCS2000) of exclusive control over HOSPITAL POLUSA, S.A. (HOSPITAL POLUSA). In accordance with the report and proposal submitted by the Competition Directorate, the Competition Chamber has resolved, in application of Article 57.2.a) of the aforementioned Law 15/2007, of July 3, to authorize the aforementioned merger operation.</w:t>
        <w:br/>
        <w:t>Likewise, it is necessary to analyze the operation taking into account the Communication from the European Commission regarding restrictions directly linked to the execution of a merger and necessary for that purpose (2005/C 56/03). This Chamber considers that the following restrictions exceed what is reasonably required by the notified merger operation, and are therefore subject to the general regulations applicable to agreements between companies:</w:t>
        <w:br/>
        <w:t>- regarding the persons subject to the non-compete clause, which exceeds the commitments on behalf of the seller, on behalf of its subsidiaries and commercial agents, and on behalf of an intermediary controlled by the seller;</w:t>
        <w:br/>
        <w:t>- the buyer's obligation of confidentiality,</w:t>
        <w:br/>
        <w:t>- regarding the temporal scope of the confidentiality clause, which exceeds the two years established by the Communication,</w:t>
        <w:br/>
        <w:t>- and concerning the geographical scope of the non-compete and non-solicitation clauses, which exceeds the area of influence of each of the respective markets.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