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https://www.cnmc.es/expedientes/c113220</w:t>
      </w:r>
    </w:p>
    <w:p>
      <w:r>
        <w:t>Pages translated : 2</w:t>
      </w:r>
    </w:p>
    <w:p/>
    <w:p>
      <w:r>
        <w:rPr>
          <w:b/>
        </w:rPr>
        <w:t>[Pages 1–2]</w:t>
      </w:r>
    </w:p>
    <w:p>
      <w:r>
        <w:t>RESOLUTION</w:t>
        <w:br/>
        <w:t>CASE FILE C/1132/20 CHIESI FARMACEUTICI / REVCOVI BUSINESS</w:t>
        <w:br/>
        <w:t>COMPETITION CHAMBER</w:t>
        <w:br/>
        <w:t>President</w:t>
        <w:br/>
        <w:t>Ms. Cani Fernández Vicién</w:t>
        <w:br/>
        <w:t>Counselors</w:t>
        <w:br/>
        <w:t>Ms. María Ortiz Aguilar</w:t>
        <w:br/>
        <w:t>Ms. María Pilar Canedo Arrillaga</w:t>
        <w:br/>
        <w:t>Mr. Carlos Aguilar Paredes</w:t>
        <w:br/>
        <w:t>Mr. Josep Maria Salas Prat</w:t>
        <w:br/>
        <w:t>Secretary of the Council</w:t>
        <w:br/>
        <w:t>Mr. Joaquim Hortalà i Vallvé</w:t>
        <w:br/>
        <w:t>In Madrid, October 20, 2020</w:t>
        <w:br/>
        <w:t xml:space="preserve">The Competition Chamber has analyzed the merger file processed in accordance with Law 15/2007, of July 3, on the Defense of Competition, consisting of the acquisition of exclusive control by CHIESI FARMACEUTICI S.P.A. (hereinafter, CHIESI) directly and through a wholly-owned subsidiary over the global REVCOVI business currently under the exclusive control of the LEADIANT group, whose parent company is LEADIANT BIOSCIENCES, S.P.A. In accordance with the report and proposal submitted by the Competition Directorate, the Competition Chamber has resolved, applying Article 57.2.a) of the aforementioned Law 15/2007, of July 3, to authorize the aforementioned merger operation. </w:t>
        <w:br/>
        <w:t>Likewise, it is appropriate to analyze the operation taking into account the Communication from the European Commission on restrictions directly linked to the execution of a merger and necessary for that purpose (2005/C 56/03). This Chamber considers that regarding the transitional services agreement, still under negotiation, anything that may exceed what is established by the aforementioned Communication would go beyond what is reasonable for the achievement of the operation, not being considered necessary or accessory to it and therefore remaining subject to the regulations on agreements between companies.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a period of two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