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https://www.cnmc.es/expedientes/c113320</w:t>
      </w:r>
    </w:p>
    <w:p>
      <w:r>
        <w:t>Pages translated : 2</w:t>
      </w:r>
    </w:p>
    <w:p/>
    <w:p>
      <w:r>
        <w:rPr>
          <w:b/>
        </w:rPr>
        <w:t>[Pages 1–2]</w:t>
      </w:r>
    </w:p>
    <w:p>
      <w:r>
        <w:t>RESOLUTION</w:t>
        <w:br/>
        <w:t>CASE FILE C/1133/20 GTCR/TACHOSIL</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November 10, 2020</w:t>
        <w:br/>
        <w:t>The Competition Chamber has analyzed the merger file processed in accordance with Law 15/2007, of July 3, on the Defense of Competition, consisting of the acquisition by GTCR (Topaz) Acquisition, Co AS (hereinafter, GTCR (Topaz)), of the TACHOSIL Business (hereinafter, the Acquired Business) from TAKEDA PHARMACEUTICALS INTERNATIONAL AG (hereinafter, TAKEDA or the Seller). In accordance with the report and proposal submitted by the Competition Directorate, the Competition Chamber has resolved, pursuant to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 in relation to the non-compete clause, any limitation on the acquisition or holding of shares in a company, whether or not it competes with the acquired company, for exclusively financial investment purposes that does not confer directly or indirectly management functions or substantial influence over the competing company, regardless of the percentage of participation acquired; and (ii) in relation to transitional service agreements, regarding their duration, to the extent that it exceeds five (5) years, goes beyond what is reasonable for the achievement of the operation and is not considered either necessary or ancillary, thus being subject to the regulations on agreements between companies.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